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1D3DE" w14:textId="69C4C25F" w:rsidR="00CC2ABF" w:rsidRPr="00DB3D98" w:rsidRDefault="00D06A02" w:rsidP="00A93F15">
      <w:pPr>
        <w:pStyle w:val="Heading1"/>
      </w:pPr>
      <w:bookmarkStart w:id="0" w:name="_Toc13754993"/>
      <w:r w:rsidRPr="00DB3D98">
        <w:t>Licens</w:t>
      </w:r>
      <w:r w:rsidR="00C00028" w:rsidRPr="00DB3D98">
        <w:t>e</w:t>
      </w:r>
      <w:bookmarkEnd w:id="0"/>
    </w:p>
    <w:p w14:paraId="61A9F584" w14:textId="77777777" w:rsidR="00CC2ABF" w:rsidRPr="00DB3D98" w:rsidRDefault="00DE6B96" w:rsidP="00C60451">
      <w:pPr>
        <w:rPr>
          <w:rFonts w:cs="Times New Roman"/>
          <w:szCs w:val="24"/>
        </w:rPr>
      </w:pPr>
      <w:r>
        <w:rPr>
          <w:rFonts w:cs="Times New Roman"/>
          <w:noProof/>
          <w:szCs w:val="24"/>
        </w:rPr>
        <w:pict w14:anchorId="78EED7BE">
          <v:rect id="_x0000_i1025" alt="" style="width:451.3pt;height:1.5pt;mso-width-percent:0;mso-height-percent:0;mso-position-vertical:absolute;mso-width-percent:0;mso-height-percent:0" o:hralign="center" o:hrstd="t" o:hrnoshade="t" o:hr="t" fillcolor="black [3213]" stroked="f"/>
        </w:pict>
      </w:r>
    </w:p>
    <w:p w14:paraId="503CAB2F" w14:textId="77777777" w:rsidR="00D54B60" w:rsidRPr="00DB3D98" w:rsidRDefault="00D54B60" w:rsidP="00240E78">
      <w:pPr>
        <w:jc w:val="center"/>
      </w:pPr>
    </w:p>
    <w:p w14:paraId="428008EF" w14:textId="77777777" w:rsidR="00D54B60" w:rsidRPr="00DB3D98" w:rsidRDefault="00D54B60" w:rsidP="00240E78">
      <w:pPr>
        <w:jc w:val="center"/>
      </w:pPr>
    </w:p>
    <w:p w14:paraId="44E39104" w14:textId="77777777" w:rsidR="00D54B60" w:rsidRPr="00DB3D98" w:rsidRDefault="00D54B60" w:rsidP="00240E78">
      <w:pPr>
        <w:jc w:val="center"/>
      </w:pPr>
    </w:p>
    <w:p w14:paraId="57AB43EB" w14:textId="4BC74A34" w:rsidR="00A655C2" w:rsidRPr="00DB3D98" w:rsidRDefault="004B5428" w:rsidP="00240E78">
      <w:pPr>
        <w:jc w:val="center"/>
      </w:pPr>
      <w:r>
        <w:rPr>
          <w:i/>
        </w:rPr>
        <w:t>AtomAccess</w:t>
      </w:r>
      <w:r w:rsidR="00163823" w:rsidRPr="00DB3D98">
        <w:br/>
      </w:r>
    </w:p>
    <w:p w14:paraId="693F1846" w14:textId="33558FB5" w:rsidR="00D06A02" w:rsidRPr="00DB3D98" w:rsidRDefault="004B5428" w:rsidP="00A655C2">
      <w:pPr>
        <w:jc w:val="center"/>
      </w:pPr>
      <w:r>
        <w:t>Gemma K. Gransbury</w:t>
      </w:r>
      <w:r w:rsidR="00A655C2" w:rsidRPr="00DB3D98">
        <w:t xml:space="preserve"> and Nicholas F. Chilton</w:t>
      </w:r>
      <w:r w:rsidR="00163823" w:rsidRPr="00DB3D98">
        <w:br/>
      </w:r>
      <w:r w:rsidR="00D06A02" w:rsidRPr="00DB3D98">
        <w:t>email:</w:t>
      </w:r>
      <w:r w:rsidR="00492177" w:rsidRPr="00DB3D98">
        <w:t xml:space="preserve"> </w:t>
      </w:r>
      <w:hyperlink r:id="rId8" w:history="1">
        <w:r w:rsidRPr="004B5428">
          <w:rPr>
            <w:rStyle w:val="Hyperlink"/>
            <w:color w:val="auto"/>
          </w:rPr>
          <w:t>gemmagransbury@gmail.com</w:t>
        </w:r>
      </w:hyperlink>
      <w:r w:rsidR="006463A7" w:rsidRPr="00DB3D98">
        <w:rPr>
          <w:color w:val="000000" w:themeColor="text1"/>
        </w:rPr>
        <w:t xml:space="preserve"> </w:t>
      </w:r>
      <w:r w:rsidR="00492177" w:rsidRPr="00DB3D98">
        <w:rPr>
          <w:color w:val="000000" w:themeColor="text1"/>
        </w:rPr>
        <w:t>or</w:t>
      </w:r>
      <w:r w:rsidR="00D06A02" w:rsidRPr="00DB3D98">
        <w:rPr>
          <w:color w:val="000000" w:themeColor="text1"/>
        </w:rPr>
        <w:t xml:space="preserve"> </w:t>
      </w:r>
      <w:hyperlink r:id="rId9" w:history="1">
        <w:r w:rsidR="0048517F" w:rsidRPr="00DB3D98">
          <w:rPr>
            <w:rStyle w:val="Hyperlink"/>
            <w:color w:val="auto"/>
          </w:rPr>
          <w:t>nfchilton@gmail.com</w:t>
        </w:r>
      </w:hyperlink>
    </w:p>
    <w:p w14:paraId="34931CC2" w14:textId="77777777" w:rsidR="00D54B60" w:rsidRPr="00DB3D98" w:rsidRDefault="00D54B60" w:rsidP="00240E78">
      <w:pPr>
        <w:jc w:val="center"/>
      </w:pPr>
    </w:p>
    <w:p w14:paraId="6EE6A107" w14:textId="011C4AEE" w:rsidR="00A655C2" w:rsidRPr="00DB3D98" w:rsidRDefault="00D06A02" w:rsidP="00A655C2">
      <w:pPr>
        <w:jc w:val="center"/>
        <w:rPr>
          <w:lang w:val="en-GB"/>
        </w:rPr>
      </w:pPr>
      <w:r w:rsidRPr="00DB3D98">
        <w:t xml:space="preserve">This document is part of </w:t>
      </w:r>
      <w:r w:rsidR="004B5428">
        <w:rPr>
          <w:i/>
        </w:rPr>
        <w:t>AtomAccess</w:t>
      </w:r>
      <w:r w:rsidRPr="00DB3D98">
        <w:t>.</w:t>
      </w:r>
    </w:p>
    <w:p w14:paraId="20BC8ADF" w14:textId="77777777" w:rsidR="00A655C2" w:rsidRPr="00DB3D98" w:rsidRDefault="00A655C2" w:rsidP="00A655C2">
      <w:pPr>
        <w:jc w:val="center"/>
        <w:rPr>
          <w:lang w:val="en-GB"/>
        </w:rPr>
      </w:pPr>
    </w:p>
    <w:p w14:paraId="7C285444" w14:textId="427970AB" w:rsidR="00A655C2" w:rsidRPr="00DB3D98" w:rsidRDefault="004B5428" w:rsidP="00A655C2">
      <w:pPr>
        <w:jc w:val="center"/>
        <w:rPr>
          <w:lang w:val="en-GB"/>
        </w:rPr>
      </w:pPr>
      <w:r>
        <w:rPr>
          <w:i/>
          <w:iCs/>
          <w:lang w:val="en-GB"/>
        </w:rPr>
        <w:t>AtomAccess</w:t>
      </w:r>
      <w:r w:rsidR="00A655C2" w:rsidRPr="00DB3D98">
        <w:rPr>
          <w:lang w:val="en-GB"/>
        </w:rPr>
        <w:t xml:space="preserve"> is free software: you can redistribute it and/or modify it under the terms of the GNU General Public License as published by the Free Software Foundation, either version 3 of the License, or (at your option) any later version.</w:t>
      </w:r>
    </w:p>
    <w:p w14:paraId="3235AAF1" w14:textId="77777777" w:rsidR="00A655C2" w:rsidRPr="00DB3D98" w:rsidRDefault="00A655C2" w:rsidP="00A655C2">
      <w:pPr>
        <w:jc w:val="center"/>
        <w:rPr>
          <w:lang w:val="en-GB"/>
        </w:rPr>
      </w:pPr>
    </w:p>
    <w:p w14:paraId="4FEBAB4D" w14:textId="4CB825CE" w:rsidR="00A655C2" w:rsidRPr="00DB3D98" w:rsidRDefault="004B5428" w:rsidP="00A655C2">
      <w:pPr>
        <w:jc w:val="center"/>
        <w:rPr>
          <w:lang w:val="en-GB"/>
        </w:rPr>
      </w:pPr>
      <w:r>
        <w:rPr>
          <w:i/>
          <w:iCs/>
          <w:lang w:val="en-GB"/>
        </w:rPr>
        <w:t>AtomAccess</w:t>
      </w:r>
      <w:r w:rsidR="00A655C2" w:rsidRPr="00DB3D98">
        <w:rPr>
          <w:lang w:val="en-GB"/>
        </w:rPr>
        <w:t xml:space="preserve"> is distributed in the hope that it will be useful, but WITHOUT ANY WARRANTY; without even the implied warranty of MERCHANTABILITY or FITNESS FOR A PARTICULAR PURPOSE.  See the GNU General Public License for more details.</w:t>
      </w:r>
    </w:p>
    <w:p w14:paraId="1F179B51" w14:textId="77777777" w:rsidR="00A655C2" w:rsidRPr="00DB3D98" w:rsidRDefault="00A655C2" w:rsidP="00A655C2">
      <w:pPr>
        <w:jc w:val="center"/>
        <w:rPr>
          <w:lang w:val="en-GB"/>
        </w:rPr>
      </w:pPr>
    </w:p>
    <w:p w14:paraId="67AE2CF1" w14:textId="72EF5192" w:rsidR="00A655C2" w:rsidRPr="00DB3D98" w:rsidRDefault="00A655C2" w:rsidP="00A655C2">
      <w:pPr>
        <w:jc w:val="center"/>
        <w:rPr>
          <w:lang w:val="en-GB"/>
        </w:rPr>
      </w:pPr>
      <w:r w:rsidRPr="00DB3D98">
        <w:rPr>
          <w:lang w:val="en-GB"/>
        </w:rPr>
        <w:t xml:space="preserve"> You should have received a copy of the GNU General Public License along with </w:t>
      </w:r>
      <w:r w:rsidR="00BB204B">
        <w:rPr>
          <w:i/>
          <w:iCs/>
          <w:lang w:val="en-GB"/>
        </w:rPr>
        <w:t>AtomAccess</w:t>
      </w:r>
      <w:r w:rsidRPr="00DB3D98">
        <w:rPr>
          <w:lang w:val="en-GB"/>
        </w:rPr>
        <w:t>. If not, see &lt;http://www.gnu.org/licenses/&gt;.</w:t>
      </w:r>
    </w:p>
    <w:p w14:paraId="1FFF146F" w14:textId="77777777" w:rsidR="00A655C2" w:rsidRPr="00DB3D98" w:rsidRDefault="00A655C2" w:rsidP="00A655C2">
      <w:pPr>
        <w:jc w:val="center"/>
        <w:rPr>
          <w:lang w:val="en-GB"/>
        </w:rPr>
      </w:pPr>
    </w:p>
    <w:p w14:paraId="17BFBBF8" w14:textId="19C3CA78" w:rsidR="00A655C2" w:rsidRPr="00DB3D98" w:rsidRDefault="00A655C2" w:rsidP="00A655C2">
      <w:pPr>
        <w:jc w:val="center"/>
        <w:rPr>
          <w:lang w:val="en-GB"/>
        </w:rPr>
      </w:pPr>
      <w:r w:rsidRPr="00DB3D98">
        <w:rPr>
          <w:lang w:val="en-GB"/>
        </w:rPr>
        <w:t xml:space="preserve">We request that any results obtained through the use of </w:t>
      </w:r>
      <w:r w:rsidR="00BB204B">
        <w:rPr>
          <w:i/>
          <w:iCs/>
          <w:lang w:val="en-GB"/>
        </w:rPr>
        <w:t>AtomAccess</w:t>
      </w:r>
      <w:r w:rsidRPr="00DB3D98">
        <w:rPr>
          <w:lang w:val="en-GB"/>
        </w:rPr>
        <w:t xml:space="preserve"> are accompanied by the following reference:</w:t>
      </w:r>
    </w:p>
    <w:p w14:paraId="319AE42C" w14:textId="77777777" w:rsidR="00A655C2" w:rsidRPr="00DB3D98" w:rsidRDefault="00A655C2" w:rsidP="00A655C2">
      <w:pPr>
        <w:jc w:val="center"/>
        <w:rPr>
          <w:lang w:val="en-GB"/>
        </w:rPr>
      </w:pPr>
    </w:p>
    <w:p w14:paraId="0833D460" w14:textId="30B309EC" w:rsidR="004B5428" w:rsidRPr="004B5428" w:rsidRDefault="004B5428" w:rsidP="001D32B6">
      <w:pPr>
        <w:pStyle w:val="ListParagraph"/>
        <w:numPr>
          <w:ilvl w:val="0"/>
          <w:numId w:val="12"/>
        </w:numPr>
        <w:jc w:val="center"/>
        <w:rPr>
          <w:iCs/>
          <w:lang w:val="en-GB"/>
        </w:rPr>
      </w:pPr>
      <w:r w:rsidRPr="004B5428">
        <w:rPr>
          <w:lang w:val="en-US"/>
        </w:rPr>
        <w:t xml:space="preserve">J. McMillan, M. </w:t>
      </w:r>
      <w:proofErr w:type="spellStart"/>
      <w:r w:rsidRPr="004B5428">
        <w:rPr>
          <w:lang w:val="en-US"/>
        </w:rPr>
        <w:t>Sienkowska</w:t>
      </w:r>
      <w:proofErr w:type="spellEnd"/>
      <w:r w:rsidRPr="004B5428">
        <w:rPr>
          <w:lang w:val="en-US"/>
        </w:rPr>
        <w:t xml:space="preserve">, P. Di Lorenzo, G. K. Gransbury, N. F. Chilton, M. </w:t>
      </w:r>
      <w:proofErr w:type="spellStart"/>
      <w:r w:rsidRPr="004B5428">
        <w:rPr>
          <w:lang w:val="en-US"/>
        </w:rPr>
        <w:t>Salamone</w:t>
      </w:r>
      <w:proofErr w:type="spellEnd"/>
      <w:r w:rsidRPr="004B5428">
        <w:rPr>
          <w:lang w:val="en-US"/>
        </w:rPr>
        <w:t xml:space="preserve">, A. </w:t>
      </w:r>
      <w:proofErr w:type="spellStart"/>
      <w:r w:rsidRPr="004B5428">
        <w:rPr>
          <w:lang w:val="en-US"/>
        </w:rPr>
        <w:t>Ruffoni</w:t>
      </w:r>
      <w:proofErr w:type="spellEnd"/>
      <w:r w:rsidRPr="004B5428">
        <w:rPr>
          <w:lang w:val="en-US"/>
        </w:rPr>
        <w:t xml:space="preserve">, M. </w:t>
      </w:r>
      <w:proofErr w:type="spellStart"/>
      <w:r w:rsidRPr="004B5428">
        <w:rPr>
          <w:lang w:val="en-US"/>
        </w:rPr>
        <w:t>Bietti</w:t>
      </w:r>
      <w:proofErr w:type="spellEnd"/>
      <w:r w:rsidRPr="004B5428">
        <w:rPr>
          <w:lang w:val="en-US"/>
        </w:rPr>
        <w:t xml:space="preserve"> and D. </w:t>
      </w:r>
      <w:proofErr w:type="spellStart"/>
      <w:r w:rsidRPr="004B5428">
        <w:rPr>
          <w:lang w:val="en-US"/>
        </w:rPr>
        <w:t>Leonori</w:t>
      </w:r>
      <w:proofErr w:type="spellEnd"/>
      <w:r w:rsidR="00A655C2" w:rsidRPr="004B5428">
        <w:rPr>
          <w:lang w:val="en-GB"/>
        </w:rPr>
        <w:t xml:space="preserve">, </w:t>
      </w:r>
      <w:r w:rsidR="001D32B6" w:rsidRPr="001D32B6">
        <w:rPr>
          <w:lang w:val="en-GB"/>
        </w:rPr>
        <w:t>Practical and Selective sp</w:t>
      </w:r>
      <w:r w:rsidR="001D32B6" w:rsidRPr="001D32B6">
        <w:rPr>
          <w:vertAlign w:val="superscript"/>
          <w:lang w:val="en-GB"/>
        </w:rPr>
        <w:t>3</w:t>
      </w:r>
      <w:r w:rsidR="001D32B6" w:rsidRPr="001D32B6">
        <w:rPr>
          <w:lang w:val="en-GB"/>
        </w:rPr>
        <w:t xml:space="preserve"> C</w:t>
      </w:r>
      <w:r w:rsidR="001D32B6">
        <w:rPr>
          <w:rFonts w:ascii="Calibri" w:hAnsi="Calibri" w:cs="Calibri"/>
          <w:lang w:val="en-GB"/>
        </w:rPr>
        <w:t>–</w:t>
      </w:r>
      <w:r w:rsidR="001D32B6" w:rsidRPr="001D32B6">
        <w:rPr>
          <w:lang w:val="en-GB"/>
        </w:rPr>
        <w:t xml:space="preserve">H Bond Chlorination via </w:t>
      </w:r>
      <w:proofErr w:type="spellStart"/>
      <w:r w:rsidR="001D32B6" w:rsidRPr="001D32B6">
        <w:rPr>
          <w:lang w:val="en-GB"/>
        </w:rPr>
        <w:t>Aminium</w:t>
      </w:r>
      <w:proofErr w:type="spellEnd"/>
      <w:r w:rsidR="001D32B6" w:rsidRPr="001D32B6">
        <w:rPr>
          <w:lang w:val="en-GB"/>
        </w:rPr>
        <w:t xml:space="preserve"> Radicals.</w:t>
      </w:r>
      <w:r w:rsidR="001D32B6">
        <w:rPr>
          <w:lang w:val="en-GB"/>
        </w:rPr>
        <w:t xml:space="preserve"> </w:t>
      </w:r>
      <w:r w:rsidRPr="004B5428">
        <w:rPr>
          <w:i/>
          <w:iCs/>
          <w:lang w:val="en-GB"/>
        </w:rPr>
        <w:t>Submitted</w:t>
      </w:r>
      <w:r w:rsidR="00631D0A" w:rsidRPr="004B5428">
        <w:rPr>
          <w:i/>
          <w:iCs/>
          <w:lang w:val="en-GB"/>
        </w:rPr>
        <w:t xml:space="preserve">, </w:t>
      </w:r>
      <w:r w:rsidR="00631D0A" w:rsidRPr="001D32B6">
        <w:rPr>
          <w:b/>
          <w:iCs/>
          <w:lang w:val="en-GB"/>
        </w:rPr>
        <w:t>20</w:t>
      </w:r>
      <w:r w:rsidRPr="001D32B6">
        <w:rPr>
          <w:b/>
          <w:iCs/>
          <w:lang w:val="en-GB"/>
        </w:rPr>
        <w:t>20</w:t>
      </w:r>
      <w:r w:rsidR="00631D0A" w:rsidRPr="004B5428">
        <w:rPr>
          <w:iCs/>
          <w:lang w:val="en-GB"/>
        </w:rPr>
        <w:t>.</w:t>
      </w:r>
    </w:p>
    <w:p w14:paraId="1CC154D4" w14:textId="77777777" w:rsidR="004B5428" w:rsidRDefault="004B5428" w:rsidP="004B5428">
      <w:pPr>
        <w:jc w:val="center"/>
      </w:pPr>
    </w:p>
    <w:p w14:paraId="4676CB76" w14:textId="3E236CFB" w:rsidR="00C239F1" w:rsidRDefault="004B5428" w:rsidP="004B5428">
      <w:pPr>
        <w:jc w:val="center"/>
      </w:pPr>
      <w:r>
        <w:t>This code was developed under</w:t>
      </w:r>
      <w:r w:rsidR="00C239F1">
        <w:t xml:space="preserve"> the</w:t>
      </w:r>
      <w:r>
        <w:t xml:space="preserve"> </w:t>
      </w:r>
      <w:r w:rsidRPr="004B5428">
        <w:t>ERC CoG-816268</w:t>
      </w:r>
      <w:r w:rsidR="00C239F1">
        <w:t xml:space="preserve"> grant with PI David P. Mills.</w:t>
      </w:r>
    </w:p>
    <w:p w14:paraId="3219EBD4" w14:textId="77777777" w:rsidR="00C239F1" w:rsidRDefault="00C239F1" w:rsidP="004B5428">
      <w:pPr>
        <w:jc w:val="center"/>
      </w:pPr>
    </w:p>
    <w:p w14:paraId="023C4F3B" w14:textId="38B90147" w:rsidR="00CC2ABF" w:rsidRPr="00DB3D98" w:rsidRDefault="00C239F1" w:rsidP="004B5428">
      <w:pPr>
        <w:jc w:val="center"/>
      </w:pPr>
      <w:r>
        <w:t xml:space="preserve">We acknowledge Ken Gransbury for help conceptualising the </w:t>
      </w:r>
      <w:r w:rsidRPr="00C239F1">
        <w:rPr>
          <w:i/>
        </w:rPr>
        <w:t>AtomAccess</w:t>
      </w:r>
      <w:r>
        <w:t xml:space="preserve"> logo. </w:t>
      </w:r>
      <w:r w:rsidR="00CC2ABF" w:rsidRPr="00DB3D98">
        <w:br w:type="page"/>
      </w:r>
    </w:p>
    <w:p w14:paraId="5EB82A6D" w14:textId="77777777" w:rsidR="008630D9" w:rsidRPr="00DB3D98" w:rsidRDefault="008630D9" w:rsidP="008630D9">
      <w:pPr>
        <w:pStyle w:val="Heading1"/>
      </w:pPr>
      <w:bookmarkStart w:id="1" w:name="_Toc13754994"/>
      <w:r w:rsidRPr="00DB3D98">
        <w:lastRenderedPageBreak/>
        <w:t>1. Introduction</w:t>
      </w:r>
      <w:bookmarkEnd w:id="1"/>
    </w:p>
    <w:p w14:paraId="5A4086F1" w14:textId="77777777" w:rsidR="008630D9" w:rsidRPr="00DB3D98" w:rsidRDefault="00DE6B96" w:rsidP="008630D9">
      <w:pPr>
        <w:rPr>
          <w:rFonts w:cs="Times New Roman"/>
          <w:szCs w:val="24"/>
        </w:rPr>
      </w:pPr>
      <w:r>
        <w:rPr>
          <w:rFonts w:cs="Times New Roman"/>
          <w:noProof/>
          <w:szCs w:val="24"/>
        </w:rPr>
        <w:pict w14:anchorId="500861B7">
          <v:rect id="_x0000_i1026" alt="" style="width:451.3pt;height:1.5pt;mso-width-percent:0;mso-height-percent:0;mso-position-vertical:absolute;mso-width-percent:0;mso-height-percent:0" o:hralign="center" o:hrstd="t" o:hrnoshade="t" o:hr="t" fillcolor="black [3213]" stroked="f"/>
        </w:pict>
      </w:r>
    </w:p>
    <w:p w14:paraId="7885B93E" w14:textId="77777777" w:rsidR="008630D9" w:rsidRPr="00DB3D98" w:rsidRDefault="008630D9" w:rsidP="008630D9">
      <w:pPr>
        <w:rPr>
          <w:rFonts w:cs="Times New Roman"/>
          <w:szCs w:val="24"/>
        </w:rPr>
      </w:pPr>
    </w:p>
    <w:p w14:paraId="2707AF0A" w14:textId="17B277D3" w:rsidR="00C239F1" w:rsidRDefault="00C239F1" w:rsidP="00C239F1">
      <w:pPr>
        <w:rPr>
          <w:rFonts w:cs="Times New Roman"/>
          <w:szCs w:val="24"/>
        </w:rPr>
      </w:pPr>
      <w:r w:rsidRPr="00DD5890">
        <w:rPr>
          <w:rFonts w:cs="Times New Roman"/>
          <w:i/>
          <w:szCs w:val="24"/>
        </w:rPr>
        <w:t>AtomAccess</w:t>
      </w:r>
      <w:r w:rsidRPr="00DD5890">
        <w:rPr>
          <w:rFonts w:cs="Times New Roman"/>
          <w:szCs w:val="24"/>
        </w:rPr>
        <w:t xml:space="preserve"> is a ray-tracing program that assesses the steric hindrance at any atom in a molecule or molecular fragment. It reports the total percentage visible solid angle (%VSA) of the atom of interest and the %VSA of all individual clusters of accessible points. </w:t>
      </w:r>
      <w:r w:rsidR="00F232F2" w:rsidRPr="00DD5890">
        <w:rPr>
          <w:rFonts w:cs="Times New Roman"/>
          <w:szCs w:val="24"/>
        </w:rPr>
        <w:t xml:space="preserve">The %VSA of a cluster represents the fraction of the central atom surface that is accessible from a particular direction. </w:t>
      </w:r>
      <w:r w:rsidRPr="00DD5890">
        <w:rPr>
          <w:rFonts w:cs="Times New Roman"/>
          <w:szCs w:val="24"/>
        </w:rPr>
        <w:t xml:space="preserve">Figure 1 illustrates the visible </w:t>
      </w:r>
      <w:r w:rsidR="003B43AB">
        <w:rPr>
          <w:rFonts w:cs="Times New Roman"/>
          <w:szCs w:val="24"/>
        </w:rPr>
        <w:t>directions</w:t>
      </w:r>
      <w:r w:rsidRPr="00DD5890">
        <w:rPr>
          <w:rFonts w:cs="Times New Roman"/>
          <w:szCs w:val="24"/>
        </w:rPr>
        <w:t xml:space="preserve"> for a </w:t>
      </w:r>
      <w:proofErr w:type="spellStart"/>
      <w:r w:rsidRPr="00DD5890">
        <w:rPr>
          <w:rFonts w:cs="Times New Roman"/>
          <w:szCs w:val="24"/>
        </w:rPr>
        <w:t>Dy</w:t>
      </w:r>
      <w:proofErr w:type="spellEnd"/>
      <w:r w:rsidRPr="00DD5890">
        <w:rPr>
          <w:rFonts w:cs="Times New Roman"/>
          <w:szCs w:val="24"/>
        </w:rPr>
        <w:t xml:space="preserve"> atom in two</w:t>
      </w:r>
      <w:r w:rsidR="00BC7DE8">
        <w:rPr>
          <w:rFonts w:cs="Times New Roman"/>
          <w:szCs w:val="24"/>
        </w:rPr>
        <w:t xml:space="preserve"> different</w:t>
      </w:r>
      <w:r w:rsidRPr="00DD5890">
        <w:rPr>
          <w:rFonts w:cs="Times New Roman"/>
          <w:szCs w:val="24"/>
        </w:rPr>
        <w:t xml:space="preserve"> </w:t>
      </w:r>
      <w:r w:rsidR="0033169D">
        <w:rPr>
          <w:rFonts w:cs="Times New Roman"/>
          <w:szCs w:val="24"/>
        </w:rPr>
        <w:t>[</w:t>
      </w:r>
      <w:proofErr w:type="spellStart"/>
      <w:proofErr w:type="gramStart"/>
      <w:r w:rsidRPr="00DD5890">
        <w:rPr>
          <w:rFonts w:cs="Times New Roman"/>
          <w:szCs w:val="24"/>
        </w:rPr>
        <w:t>Dy</w:t>
      </w:r>
      <w:proofErr w:type="spellEnd"/>
      <w:r w:rsidRPr="00DD5890">
        <w:rPr>
          <w:rFonts w:cs="Times New Roman"/>
          <w:szCs w:val="24"/>
        </w:rPr>
        <w:t>(</w:t>
      </w:r>
      <w:proofErr w:type="spellStart"/>
      <w:proofErr w:type="gramEnd"/>
      <w:r w:rsidRPr="00DD5890">
        <w:rPr>
          <w:rFonts w:cs="Times New Roman"/>
          <w:szCs w:val="24"/>
        </w:rPr>
        <w:t>Cp</w:t>
      </w:r>
      <w:r w:rsidRPr="00DD5890">
        <w:rPr>
          <w:rFonts w:cs="Times New Roman"/>
          <w:szCs w:val="24"/>
          <w:vertAlign w:val="superscript"/>
        </w:rPr>
        <w:t>R</w:t>
      </w:r>
      <w:proofErr w:type="spellEnd"/>
      <w:r w:rsidRPr="00DD5890">
        <w:rPr>
          <w:rFonts w:cs="Times New Roman"/>
          <w:szCs w:val="24"/>
        </w:rPr>
        <w:t>)</w:t>
      </w:r>
      <w:r w:rsidRPr="00DD5890">
        <w:rPr>
          <w:rFonts w:cs="Times New Roman"/>
          <w:szCs w:val="24"/>
          <w:vertAlign w:val="subscript"/>
        </w:rPr>
        <w:t>2</w:t>
      </w:r>
      <w:r w:rsidR="0033169D">
        <w:rPr>
          <w:rFonts w:cs="Times New Roman"/>
          <w:szCs w:val="24"/>
        </w:rPr>
        <w:t>]</w:t>
      </w:r>
      <w:r w:rsidR="0033169D">
        <w:rPr>
          <w:rFonts w:cs="Times New Roman"/>
          <w:szCs w:val="24"/>
          <w:vertAlign w:val="superscript"/>
        </w:rPr>
        <w:t>+</w:t>
      </w:r>
      <w:r w:rsidRPr="00DD5890">
        <w:rPr>
          <w:rFonts w:cs="Times New Roman"/>
          <w:szCs w:val="24"/>
        </w:rPr>
        <w:t xml:space="preserve"> </w:t>
      </w:r>
      <w:r w:rsidR="00BC7DE8">
        <w:rPr>
          <w:rFonts w:cs="Times New Roman"/>
          <w:szCs w:val="24"/>
        </w:rPr>
        <w:t>cations;</w:t>
      </w:r>
      <w:r w:rsidRPr="00DD5890">
        <w:rPr>
          <w:rFonts w:cs="Times New Roman"/>
          <w:szCs w:val="24"/>
        </w:rPr>
        <w:t xml:space="preserve"> the left </w:t>
      </w:r>
      <w:r w:rsidR="00BC7DE8">
        <w:rPr>
          <w:rFonts w:cs="Times New Roman"/>
          <w:szCs w:val="24"/>
        </w:rPr>
        <w:t>cation</w:t>
      </w:r>
      <w:r w:rsidRPr="00DD5890">
        <w:rPr>
          <w:rFonts w:cs="Times New Roman"/>
          <w:szCs w:val="24"/>
        </w:rPr>
        <w:t xml:space="preserve"> has most visible points grouped in one large cluster, and the right </w:t>
      </w:r>
      <w:r w:rsidR="00BC7DE8">
        <w:rPr>
          <w:rFonts w:cs="Times New Roman"/>
          <w:szCs w:val="24"/>
        </w:rPr>
        <w:t>cation</w:t>
      </w:r>
      <w:r w:rsidRPr="00DD5890">
        <w:rPr>
          <w:rFonts w:cs="Times New Roman"/>
          <w:szCs w:val="24"/>
        </w:rPr>
        <w:t xml:space="preserve"> </w:t>
      </w:r>
      <w:r w:rsidR="00BC7DE8">
        <w:rPr>
          <w:rFonts w:cs="Times New Roman"/>
          <w:szCs w:val="24"/>
        </w:rPr>
        <w:t>has</w:t>
      </w:r>
      <w:r w:rsidRPr="00DD5890">
        <w:rPr>
          <w:rFonts w:cs="Times New Roman"/>
          <w:szCs w:val="24"/>
        </w:rPr>
        <w:t xml:space="preserve"> multiple small clusters of visible points.</w:t>
      </w:r>
    </w:p>
    <w:p w14:paraId="6314F164" w14:textId="77777777" w:rsidR="00C239F1" w:rsidRPr="00DD5890" w:rsidRDefault="00C239F1" w:rsidP="00C239F1">
      <w:pPr>
        <w:rPr>
          <w:rFonts w:cs="Times New Roman"/>
          <w:szCs w:val="24"/>
        </w:rPr>
      </w:pPr>
    </w:p>
    <w:p w14:paraId="6CD2D94A" w14:textId="6EF8FC88" w:rsidR="00C239F1" w:rsidRDefault="00C239F1" w:rsidP="00C239F1">
      <w:pPr>
        <w:rPr>
          <w:rFonts w:cs="Times New Roman"/>
          <w:noProof/>
          <w:szCs w:val="24"/>
          <w:lang w:eastAsia="en-GB"/>
        </w:rPr>
      </w:pPr>
      <w:r w:rsidRPr="00DD5890">
        <w:rPr>
          <w:rFonts w:cs="Times New Roman"/>
          <w:noProof/>
          <w:szCs w:val="24"/>
          <w:lang w:val="en-GB" w:eastAsia="en-GB"/>
        </w:rPr>
        <w:drawing>
          <wp:inline distT="0" distB="0" distL="0" distR="0" wp14:anchorId="067AEDE0" wp14:editId="350461AC">
            <wp:extent cx="3031460" cy="2386468"/>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20149" t="15873" r="8813" b="20048"/>
                    <a:stretch/>
                  </pic:blipFill>
                  <pic:spPr bwMode="auto">
                    <a:xfrm>
                      <a:off x="0" y="0"/>
                      <a:ext cx="3031460" cy="2386468"/>
                    </a:xfrm>
                    <a:prstGeom prst="rect">
                      <a:avLst/>
                    </a:prstGeom>
                    <a:ln>
                      <a:noFill/>
                    </a:ln>
                    <a:extLst>
                      <a:ext uri="{53640926-AAD7-44D8-BBD7-CCE9431645EC}">
                        <a14:shadowObscured xmlns:a14="http://schemas.microsoft.com/office/drawing/2010/main"/>
                      </a:ext>
                    </a:extLst>
                  </pic:spPr>
                </pic:pic>
              </a:graphicData>
            </a:graphic>
          </wp:inline>
        </w:drawing>
      </w:r>
      <w:r w:rsidRPr="00DD5890">
        <w:rPr>
          <w:rFonts w:cs="Times New Roman"/>
          <w:noProof/>
          <w:szCs w:val="24"/>
          <w:lang w:eastAsia="en-GB"/>
        </w:rPr>
        <w:t xml:space="preserve"> </w:t>
      </w:r>
      <w:r w:rsidRPr="00DD5890">
        <w:rPr>
          <w:rFonts w:cs="Times New Roman"/>
          <w:noProof/>
          <w:szCs w:val="24"/>
          <w:lang w:val="en-GB" w:eastAsia="en-GB"/>
        </w:rPr>
        <w:drawing>
          <wp:inline distT="0" distB="0" distL="0" distR="0" wp14:anchorId="0423DF47" wp14:editId="6F394776">
            <wp:extent cx="2386577" cy="2386577"/>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11356" t="15171" r="20745" b="7315"/>
                    <a:stretch/>
                  </pic:blipFill>
                  <pic:spPr bwMode="auto">
                    <a:xfrm>
                      <a:off x="0" y="0"/>
                      <a:ext cx="2386577" cy="2386577"/>
                    </a:xfrm>
                    <a:prstGeom prst="rect">
                      <a:avLst/>
                    </a:prstGeom>
                    <a:ln>
                      <a:noFill/>
                    </a:ln>
                    <a:extLst>
                      <a:ext uri="{53640926-AAD7-44D8-BBD7-CCE9431645EC}">
                        <a14:shadowObscured xmlns:a14="http://schemas.microsoft.com/office/drawing/2010/main"/>
                      </a:ext>
                    </a:extLst>
                  </pic:spPr>
                </pic:pic>
              </a:graphicData>
            </a:graphic>
          </wp:inline>
        </w:drawing>
      </w:r>
    </w:p>
    <w:p w14:paraId="60FCE5D0" w14:textId="77777777" w:rsidR="00C239F1" w:rsidRPr="00DD5890" w:rsidRDefault="00C239F1" w:rsidP="00C239F1">
      <w:pPr>
        <w:rPr>
          <w:rFonts w:cs="Times New Roman"/>
          <w:noProof/>
          <w:szCs w:val="24"/>
          <w:lang w:eastAsia="en-GB"/>
        </w:rPr>
      </w:pPr>
    </w:p>
    <w:p w14:paraId="6FE6D0BC" w14:textId="10B7DA19" w:rsidR="00C239F1" w:rsidRDefault="00C239F1" w:rsidP="00BC7DE8">
      <w:pPr>
        <w:pStyle w:val="NoSpacing"/>
        <w:jc w:val="left"/>
        <w:rPr>
          <w:noProof/>
          <w:lang w:eastAsia="en-GB"/>
        </w:rPr>
      </w:pPr>
      <w:r w:rsidRPr="00DD5890">
        <w:rPr>
          <w:b/>
          <w:noProof/>
          <w:lang w:eastAsia="en-GB"/>
        </w:rPr>
        <w:t>Figure 1.</w:t>
      </w:r>
      <w:r w:rsidRPr="00DD5890">
        <w:rPr>
          <w:noProof/>
          <w:lang w:eastAsia="en-GB"/>
        </w:rPr>
        <w:t xml:space="preserve"> Two </w:t>
      </w:r>
      <w:r w:rsidR="00BC7DE8">
        <w:rPr>
          <w:noProof/>
          <w:lang w:eastAsia="en-GB"/>
        </w:rPr>
        <w:t>[</w:t>
      </w:r>
      <w:r w:rsidRPr="00DD5890">
        <w:rPr>
          <w:noProof/>
          <w:lang w:eastAsia="en-GB"/>
        </w:rPr>
        <w:t>Dy(Cp</w:t>
      </w:r>
      <w:r w:rsidRPr="00DD5890">
        <w:rPr>
          <w:noProof/>
          <w:vertAlign w:val="superscript"/>
          <w:lang w:eastAsia="en-GB"/>
        </w:rPr>
        <w:t>R</w:t>
      </w:r>
      <w:r w:rsidRPr="00DD5890">
        <w:rPr>
          <w:noProof/>
          <w:lang w:eastAsia="en-GB"/>
        </w:rPr>
        <w:t>)</w:t>
      </w:r>
      <w:r w:rsidRPr="00DD5890">
        <w:rPr>
          <w:noProof/>
          <w:vertAlign w:val="subscript"/>
          <w:lang w:eastAsia="en-GB"/>
        </w:rPr>
        <w:t>2</w:t>
      </w:r>
      <w:r w:rsidR="00BC7DE8">
        <w:rPr>
          <w:noProof/>
          <w:lang w:eastAsia="en-GB"/>
        </w:rPr>
        <w:t>]</w:t>
      </w:r>
      <w:r w:rsidR="00BC7DE8">
        <w:rPr>
          <w:noProof/>
          <w:vertAlign w:val="superscript"/>
          <w:lang w:eastAsia="en-GB"/>
        </w:rPr>
        <w:t>+</w:t>
      </w:r>
      <w:r w:rsidRPr="00DD5890">
        <w:rPr>
          <w:noProof/>
          <w:lang w:eastAsia="en-GB"/>
        </w:rPr>
        <w:t xml:space="preserve"> </w:t>
      </w:r>
      <w:r w:rsidR="00BC7DE8">
        <w:rPr>
          <w:noProof/>
          <w:lang w:eastAsia="en-GB"/>
        </w:rPr>
        <w:t>cations</w:t>
      </w:r>
      <w:r w:rsidRPr="00DD5890">
        <w:rPr>
          <w:noProof/>
          <w:lang w:eastAsia="en-GB"/>
        </w:rPr>
        <w:t xml:space="preserve"> with black dashed lines to show visible angular points. Colour code: dysprosium (purple), carbon (grey), hydrogen (white). Calculation performed on [Dy(Cp*)</w:t>
      </w:r>
      <w:r w:rsidRPr="00DD5890">
        <w:rPr>
          <w:noProof/>
          <w:vertAlign w:val="subscript"/>
          <w:lang w:eastAsia="en-GB"/>
        </w:rPr>
        <w:t>2</w:t>
      </w:r>
      <w:r w:rsidRPr="00DD5890">
        <w:rPr>
          <w:noProof/>
          <w:lang w:eastAsia="en-GB"/>
        </w:rPr>
        <w:t>]</w:t>
      </w:r>
      <w:r w:rsidRPr="00DD5890">
        <w:rPr>
          <w:noProof/>
          <w:vertAlign w:val="superscript"/>
          <w:lang w:eastAsia="en-GB"/>
        </w:rPr>
        <w:t>+</w:t>
      </w:r>
      <w:r w:rsidRPr="00DD5890">
        <w:rPr>
          <w:noProof/>
          <w:lang w:eastAsia="en-GB"/>
        </w:rPr>
        <w:t xml:space="preserve"> (left) and [Dy(Cp</w:t>
      </w:r>
      <w:r w:rsidRPr="00DD5890">
        <w:rPr>
          <w:noProof/>
          <w:vertAlign w:val="superscript"/>
          <w:lang w:eastAsia="en-GB"/>
        </w:rPr>
        <w:t>ttt</w:t>
      </w:r>
      <w:r w:rsidRPr="00DD5890">
        <w:rPr>
          <w:noProof/>
          <w:lang w:eastAsia="en-GB"/>
        </w:rPr>
        <w:t>)</w:t>
      </w:r>
      <w:r w:rsidRPr="00DD5890">
        <w:rPr>
          <w:noProof/>
          <w:vertAlign w:val="subscript"/>
          <w:lang w:eastAsia="en-GB"/>
        </w:rPr>
        <w:t>2</w:t>
      </w:r>
      <w:r w:rsidRPr="00DD5890">
        <w:rPr>
          <w:noProof/>
          <w:lang w:eastAsia="en-GB"/>
        </w:rPr>
        <w:t>]</w:t>
      </w:r>
      <w:r w:rsidRPr="00DD5890">
        <w:rPr>
          <w:noProof/>
          <w:vertAlign w:val="superscript"/>
          <w:lang w:eastAsia="en-GB"/>
        </w:rPr>
        <w:t>+</w:t>
      </w:r>
      <w:r w:rsidRPr="00DD5890">
        <w:rPr>
          <w:noProof/>
          <w:lang w:eastAsia="en-GB"/>
        </w:rPr>
        <w:t xml:space="preserve"> (right) fragments of crystal structures</w:t>
      </w:r>
      <w:r w:rsidRPr="00DD5890">
        <w:rPr>
          <w:noProof/>
          <w:lang w:eastAsia="en-GB"/>
        </w:rPr>
        <w:fldChar w:fldCharType="begin" w:fldLock="1"/>
      </w:r>
      <w:r w:rsidRPr="00DD5890">
        <w:rPr>
          <w:noProof/>
          <w:lang w:eastAsia="en-GB"/>
        </w:rPr>
        <w:instrText>ADDIN CSL_CITATION {"citationItems":[{"id":"ITEM-1","itemData":{"DOI":"10.1038/nature23447","ISSN":"0028-0836","abstract":"Lanthanides have been investigated extensively for potential applications in quantum information processing and high-density data storage at the molecular and atomic scale. Experimental achievements include reading and manipulating single nuclear spins, exploiting atomic clock transitions for robust qubits and, most recently, magnetic data storage in single atoms. Single-molecule magnets exhibit magnetic hysteresis of molecular origin - a magnetic memory effect and a prerequisite of data storage - and so far lanthanide examples have exhibited this phenomenon at the highest temperatures. However, in the nearly 25 years since the discovery of single-molecule magnets, hysteresis temperatures have increased from 4 kelvin to only about 14 kelvin using a consistent magnetic field sweep rate of about 20 oersted per second, although higher temperatures have been achieved by using very fast sweep rates (for example, 30 kelvin with 200 oersted per second). Here we report a hexa-tert-butyldysprosocenium complex - [Dy(Cpttt)2][B(C6F5)4], with Cpttt = {C5H2tBu3-1,2,4} and tBu = C(CH3)3 - which exhibits magnetic hysteresis at temperatures of up to 60 kelvin at a sweep rate of 22 oersted per second. We observe a clear change in the relaxation dynamics at this temperature, which persists in magnetically diluted samples, suggesting that the origin of the hysteresis is the localized metal-ligand vibrational modes that are unique to dysprosocenium. Ab initio calculations of spin dynamics demonstrate that magnetic relaxation at high temperatures is due to local molecular vibrations. These results indicate that, with judicious molecular design, magnetic data storage in single molecules at temperatures above liquid nitrogen should be possible.","author":[{"dropping-particle":"","family":"Goodwin","given":"Conrad A. P.","non-dropping-particle":"","parse-names":false,"suffix":""},{"dropping-particle":"","family":"Ortu","given":"Fabrizio","non-dropping-particle":"","parse-names":false,"suffix":""},{"dropping-particle":"","family":"Reta","given":"Daniel","non-dropping-particle":"","parse-names":false,"suffix":""},{"dropping-particle":"","family":"Chilton","given":"Nicholas F.","non-dropping-particle":"","parse-names":false,"suffix":""},{"dropping-particle":"","family":"Mills","given":"David P.","non-dropping-particle":"","parse-names":false,"suffix":""}],"container-title":"Nature","id":"ITEM-1","issue":"7668","issued":{"date-parts":[["2017","8","24"]]},"page":"439-442","publisher":"Nature Publishing Group","title":"Molecular magnetic hysteresis at 60 kelvin in dysprosocenium","type":"article-journal","volume":"548"},"uris":["http://www.mendeley.com/documents/?uuid=dbfb5978-c97c-4c3b-b177-77f2e76c156c"]},{"id":"ITEM-2","itemData":{"DOI":"10.1021/ja308945d","ISBN":"1520-5126 (Electronic)\\r0002-7863 (Linking)","ISSN":"0002-7863","PMID":"23110653","abstract":"The synthesis and magnetic properties of three new bipyrimidyl radical-bridged dilanthanide complexes, [(Cp*(2)Ln)(2)(μ-bpym(•))](+) (Ln = Gd, Tb, Dy), are reported. Strong Ln(III)-bpym(•-) exchange coupling is observed for all species, as indicated by the increases in χ(M)T at low temperatures. For the Gd(III)-containing complex, a fit to the data reveals antiferromagnetic coupling with J = -10 cm(-1) to give an S = (13)/(2) ground state. The Tb(III) and Dy(III) congeners show single-molecule magnet behavior with relaxation barriers of U(eff) = 44(2) and 87.8(3) cm(-1), respectively, a consequence of the large magnetic anisotropies imparted by these ions. Significantly, the latter complex exhibits a divergence of the field-cooled and zero-field-cooled dc susceptibility data at 6.5 K and magnetic hysteresis below this temperature.","author":[{"dropping-particle":"","family":"Demir","given":"Selvan","non-dropping-particle":"","parse-names":false,"suffix":""},{"dropping-particle":"","family":"Zadrozny","given":"Joseph M.","non-dropping-particle":"","parse-names":false,"suffix":""},{"dropping-particle":"","family":"Nippe","given":"Michael","non-dropping-particle":"","parse-names":false,"suffix":""},{"dropping-particle":"","family":"Long","given":"Jeffrey R.","non-dropping-particle":"","parse-names":false,"suffix":""}],"container-title":"Journal of the American Chemical Society","id":"ITEM-2","issue":"45","issued":{"date-parts":[["2012","11"]]},"page":"18546-18549","title":"Exchange Coupling and Magnetic Blocking in Bipyrimidyl Radical-Bridged Dilanthanide Complexes","type":"article-journal","volume":"134"},"uris":["http://www.mendeley.com/documents/?uuid=3c0c23b7-c464-42f5-abe3-91d71b4e8125"]}],"mendeley":{"formattedCitation":"&lt;sup&gt;1,2&lt;/sup&gt;","plainTextFormattedCitation":"1,2","previouslyFormattedCitation":"&lt;sup&gt;1,2&lt;/sup&gt;"},"properties":{"noteIndex":0},"schema":"https://github.com/citation-style-language/schema/raw/master/csl-citation.json"}</w:instrText>
      </w:r>
      <w:r w:rsidRPr="00DD5890">
        <w:rPr>
          <w:noProof/>
          <w:lang w:eastAsia="en-GB"/>
        </w:rPr>
        <w:fldChar w:fldCharType="separate"/>
      </w:r>
      <w:r w:rsidRPr="00DD5890">
        <w:rPr>
          <w:noProof/>
          <w:vertAlign w:val="superscript"/>
          <w:lang w:eastAsia="en-GB"/>
        </w:rPr>
        <w:t>1,2</w:t>
      </w:r>
      <w:r w:rsidRPr="00DD5890">
        <w:rPr>
          <w:noProof/>
          <w:lang w:eastAsia="en-GB"/>
        </w:rPr>
        <w:fldChar w:fldCharType="end"/>
      </w:r>
      <w:r w:rsidRPr="00DD5890">
        <w:rPr>
          <w:noProof/>
          <w:lang w:eastAsia="en-GB"/>
        </w:rPr>
        <w:t xml:space="preserve"> using </w:t>
      </w:r>
      <w:r w:rsidRPr="00DD5890">
        <w:rPr>
          <w:i/>
          <w:noProof/>
          <w:lang w:eastAsia="en-GB"/>
        </w:rPr>
        <w:t>AtomAccess</w:t>
      </w:r>
      <w:r w:rsidRPr="00DD5890">
        <w:rPr>
          <w:noProof/>
          <w:lang w:eastAsia="en-GB"/>
        </w:rPr>
        <w:t xml:space="preserve"> with a ZCW integration density of 9, non-bonded radii and csv option to ge</w:t>
      </w:r>
      <w:r>
        <w:rPr>
          <w:noProof/>
          <w:lang w:eastAsia="en-GB"/>
        </w:rPr>
        <w:t>nerate a list of visible angular points</w:t>
      </w:r>
      <w:r w:rsidRPr="00DD5890">
        <w:rPr>
          <w:noProof/>
          <w:lang w:eastAsia="en-GB"/>
        </w:rPr>
        <w:t>, which were then visualised using Wolfram Mathematica 12.1.</w:t>
      </w:r>
      <w:r w:rsidRPr="00DD5890">
        <w:rPr>
          <w:noProof/>
          <w:lang w:eastAsia="en-GB"/>
        </w:rPr>
        <w:fldChar w:fldCharType="begin" w:fldLock="1"/>
      </w:r>
      <w:r w:rsidRPr="00DD5890">
        <w:rPr>
          <w:noProof/>
          <w:lang w:eastAsia="en-GB"/>
        </w:rPr>
        <w:instrText>ADDIN CSL_CITATION {"citationItems":[{"id":"ITEM-1","itemData":{"id":"ITEM-1","issued":{"date-parts":[["2020"]]},"note":"Champaign, IL, 2020","number":"12.1","publisher":"Wolfram Research, Inc.","title":"Mathematica, Version 12.1","type":"article"},"uris":["http://www.mendeley.com/documents/?uuid=883d3fd6-1635-4b85-adf5-ed71ac25c9e3"]}],"mendeley":{"formattedCitation":"&lt;sup&gt;3&lt;/sup&gt;","plainTextFormattedCitation":"3","previouslyFormattedCitation":"&lt;sup&gt;3&lt;/sup&gt;"},"properties":{"noteIndex":0},"schema":"https://github.com/citation-style-language/schema/raw/master/csl-citation.json"}</w:instrText>
      </w:r>
      <w:r w:rsidRPr="00DD5890">
        <w:rPr>
          <w:noProof/>
          <w:lang w:eastAsia="en-GB"/>
        </w:rPr>
        <w:fldChar w:fldCharType="separate"/>
      </w:r>
      <w:r w:rsidRPr="00DD5890">
        <w:rPr>
          <w:noProof/>
          <w:vertAlign w:val="superscript"/>
          <w:lang w:eastAsia="en-GB"/>
        </w:rPr>
        <w:t>3</w:t>
      </w:r>
      <w:r w:rsidRPr="00DD5890">
        <w:rPr>
          <w:noProof/>
          <w:lang w:eastAsia="en-GB"/>
        </w:rPr>
        <w:fldChar w:fldCharType="end"/>
      </w:r>
    </w:p>
    <w:p w14:paraId="7BE4761B" w14:textId="77777777" w:rsidR="00C239F1" w:rsidRPr="00DD5890" w:rsidRDefault="00C239F1" w:rsidP="00C239F1">
      <w:pPr>
        <w:rPr>
          <w:rFonts w:cs="Times New Roman"/>
          <w:noProof/>
          <w:szCs w:val="24"/>
          <w:lang w:eastAsia="en-GB"/>
        </w:rPr>
      </w:pPr>
    </w:p>
    <w:p w14:paraId="0F338A7B" w14:textId="77777777" w:rsidR="00631D0A" w:rsidRPr="00DB3D98" w:rsidRDefault="00631D0A">
      <w:pPr>
        <w:spacing w:after="200" w:line="276" w:lineRule="auto"/>
        <w:jc w:val="left"/>
        <w:rPr>
          <w:rFonts w:eastAsiaTheme="majorEastAsia" w:cstheme="majorBidi"/>
          <w:bCs/>
          <w:sz w:val="40"/>
          <w:szCs w:val="28"/>
        </w:rPr>
      </w:pPr>
      <w:bookmarkStart w:id="2" w:name="_Toc13754995"/>
      <w:r w:rsidRPr="00DB3D98">
        <w:br w:type="page"/>
      </w:r>
    </w:p>
    <w:p w14:paraId="4CA6C8E5" w14:textId="465392CD" w:rsidR="00CB5F28" w:rsidRPr="00DB3D98" w:rsidRDefault="008630D9" w:rsidP="00A93F15">
      <w:pPr>
        <w:pStyle w:val="Heading1"/>
      </w:pPr>
      <w:r w:rsidRPr="00DB3D98">
        <w:lastRenderedPageBreak/>
        <w:t>2</w:t>
      </w:r>
      <w:r w:rsidR="008A468B" w:rsidRPr="00DB3D98">
        <w:t xml:space="preserve">. </w:t>
      </w:r>
      <w:r w:rsidR="00B239CD" w:rsidRPr="00DB3D98">
        <w:t>User</w:t>
      </w:r>
      <w:r w:rsidR="008A468B" w:rsidRPr="00DB3D98">
        <w:t xml:space="preserve"> Guide</w:t>
      </w:r>
      <w:bookmarkEnd w:id="2"/>
    </w:p>
    <w:p w14:paraId="3575CD69" w14:textId="77777777" w:rsidR="005A1962" w:rsidRPr="00DB3D98" w:rsidRDefault="00DE6B96" w:rsidP="00C60451">
      <w:pPr>
        <w:rPr>
          <w:rFonts w:cs="Times New Roman"/>
          <w:szCs w:val="24"/>
        </w:rPr>
      </w:pPr>
      <w:r>
        <w:rPr>
          <w:rFonts w:cs="Times New Roman"/>
          <w:noProof/>
          <w:szCs w:val="24"/>
        </w:rPr>
        <w:pict w14:anchorId="5B469051">
          <v:rect id="_x0000_i1027" alt="" style="width:451.3pt;height:1.5pt;mso-width-percent:0;mso-height-percent:0;mso-position-vertical:absolute;mso-width-percent:0;mso-height-percent:0" o:hralign="center" o:hrstd="t" o:hrnoshade="t" o:hr="t" fillcolor="black [3213]" stroked="f"/>
        </w:pict>
      </w:r>
    </w:p>
    <w:p w14:paraId="03561548" w14:textId="77777777" w:rsidR="000E79B2" w:rsidRPr="00DB3D98" w:rsidRDefault="000E79B2" w:rsidP="00C60451">
      <w:pPr>
        <w:rPr>
          <w:rFonts w:cs="Times New Roman"/>
          <w:szCs w:val="24"/>
        </w:rPr>
      </w:pPr>
    </w:p>
    <w:p w14:paraId="383CF16F" w14:textId="36F41848" w:rsidR="00C239F1" w:rsidRDefault="00C239F1" w:rsidP="00C239F1">
      <w:pPr>
        <w:rPr>
          <w:rFonts w:cs="Times New Roman"/>
          <w:szCs w:val="24"/>
        </w:rPr>
      </w:pPr>
      <w:r w:rsidRPr="00DD5890">
        <w:rPr>
          <w:rFonts w:cs="Times New Roman"/>
          <w:i/>
          <w:szCs w:val="24"/>
        </w:rPr>
        <w:t>AtomAccess</w:t>
      </w:r>
      <w:r w:rsidRPr="00DD5890">
        <w:rPr>
          <w:rFonts w:cs="Times New Roman"/>
          <w:szCs w:val="24"/>
        </w:rPr>
        <w:t xml:space="preserve"> is a </w:t>
      </w:r>
      <w:r w:rsidR="00BC7DE8">
        <w:rPr>
          <w:rFonts w:cs="Times New Roman"/>
          <w:szCs w:val="24"/>
        </w:rPr>
        <w:t>P</w:t>
      </w:r>
      <w:r w:rsidRPr="00DD5890">
        <w:rPr>
          <w:rFonts w:cs="Times New Roman"/>
          <w:szCs w:val="24"/>
        </w:rPr>
        <w:t xml:space="preserve">ython script written for </w:t>
      </w:r>
      <w:r w:rsidR="00BC7DE8">
        <w:rPr>
          <w:rFonts w:cs="Times New Roman"/>
          <w:szCs w:val="24"/>
        </w:rPr>
        <w:t>P</w:t>
      </w:r>
      <w:r w:rsidRPr="00DD5890">
        <w:rPr>
          <w:rFonts w:cs="Times New Roman"/>
          <w:szCs w:val="24"/>
        </w:rPr>
        <w:t>ython 3.</w:t>
      </w:r>
      <w:r w:rsidRPr="00DD5890">
        <w:rPr>
          <w:rFonts w:cs="Times New Roman"/>
          <w:szCs w:val="24"/>
        </w:rPr>
        <w:fldChar w:fldCharType="begin" w:fldLock="1"/>
      </w:r>
      <w:r w:rsidR="003B43AB">
        <w:rPr>
          <w:rFonts w:cs="Times New Roman"/>
          <w:szCs w:val="24"/>
        </w:rPr>
        <w:instrText>ADDIN CSL_CITATION {"citationItems":[{"id":"ITEM-1","itemData":{"ISBN":"1441412697","author":[{"dropping-particle":"","family":"Rossum","given":"Guido","non-dropping-particle":"Van","parse-names":false,"suffix":""},{"dropping-particle":"","family":"Drake","given":"Fred L","non-dropping-particle":"","parse-names":false,"suffix":""}],"id":"ITEM-1","issued":{"date-parts":[["2009"]]},"publisher":"CreateSpace","publisher-place":"Scotts Valley, CA","title":"Python 3 Reference Manual","type":"book"},"uris":["http://www.mendeley.com/documents/?uuid=7095707b-37b0-4cf5-9da6-8729277ac267"]}],"mendeley":{"formattedCitation":"&lt;sup&gt;4&lt;/sup&gt;","plainTextFormattedCitation":"4","previouslyFormattedCitation":"&lt;sup&gt;6&lt;/sup&gt;"},"properties":{"noteIndex":0},"schema":"https://github.com/citation-style-language/schema/raw/master/csl-citation.json"}</w:instrText>
      </w:r>
      <w:r w:rsidRPr="00DD5890">
        <w:rPr>
          <w:rFonts w:cs="Times New Roman"/>
          <w:szCs w:val="24"/>
        </w:rPr>
        <w:fldChar w:fldCharType="separate"/>
      </w:r>
      <w:r w:rsidR="003B43AB" w:rsidRPr="003B43AB">
        <w:rPr>
          <w:rFonts w:cs="Times New Roman"/>
          <w:noProof/>
          <w:szCs w:val="24"/>
          <w:vertAlign w:val="superscript"/>
        </w:rPr>
        <w:t>4</w:t>
      </w:r>
      <w:r w:rsidRPr="00DD5890">
        <w:rPr>
          <w:rFonts w:cs="Times New Roman"/>
          <w:szCs w:val="24"/>
        </w:rPr>
        <w:fldChar w:fldCharType="end"/>
      </w:r>
      <w:r w:rsidRPr="00DD5890">
        <w:rPr>
          <w:rFonts w:cs="Times New Roman"/>
          <w:szCs w:val="24"/>
        </w:rPr>
        <w:t xml:space="preserve"> In this manual, &lt;</w:t>
      </w:r>
      <w:r>
        <w:rPr>
          <w:rFonts w:cs="Times New Roman"/>
          <w:szCs w:val="24"/>
        </w:rPr>
        <w:t xml:space="preserve"> </w:t>
      </w:r>
      <w:r w:rsidRPr="00DD5890">
        <w:rPr>
          <w:rFonts w:cs="Times New Roman"/>
          <w:szCs w:val="24"/>
        </w:rPr>
        <w:t>&gt; brackets will be used to represent text that can be substituted with a name or value</w:t>
      </w:r>
      <w:r w:rsidR="00DB1501">
        <w:rPr>
          <w:rFonts w:cs="Times New Roman"/>
          <w:szCs w:val="24"/>
        </w:rPr>
        <w:t xml:space="preserve">. </w:t>
      </w:r>
      <w:r w:rsidRPr="00DD5890">
        <w:rPr>
          <w:rFonts w:cs="Times New Roman"/>
          <w:i/>
          <w:szCs w:val="24"/>
        </w:rPr>
        <w:t>AtomAccess</w:t>
      </w:r>
      <w:r w:rsidRPr="00DD5890">
        <w:rPr>
          <w:rFonts w:cs="Times New Roman"/>
          <w:szCs w:val="24"/>
        </w:rPr>
        <w:t xml:space="preserve"> is run in the command line as follows:</w:t>
      </w:r>
    </w:p>
    <w:p w14:paraId="1DBABFA6" w14:textId="77777777" w:rsidR="00C239F1" w:rsidRPr="00DD5890" w:rsidRDefault="00C239F1" w:rsidP="00C239F1">
      <w:pPr>
        <w:rPr>
          <w:rFonts w:cs="Times New Roman"/>
          <w:szCs w:val="24"/>
        </w:rPr>
      </w:pPr>
    </w:p>
    <w:p w14:paraId="1507020C" w14:textId="6A86E08E" w:rsidR="00C239F1" w:rsidRDefault="00C239F1" w:rsidP="00C239F1">
      <w:pPr>
        <w:rPr>
          <w:rFonts w:cs="Times New Roman"/>
          <w:szCs w:val="24"/>
        </w:rPr>
      </w:pPr>
      <w:proofErr w:type="gramStart"/>
      <w:r w:rsidRPr="00DD5890">
        <w:rPr>
          <w:rFonts w:cs="Times New Roman"/>
          <w:szCs w:val="24"/>
        </w:rPr>
        <w:t>python</w:t>
      </w:r>
      <w:proofErr w:type="gramEnd"/>
      <w:r w:rsidRPr="00DD5890">
        <w:rPr>
          <w:rFonts w:cs="Times New Roman"/>
          <w:szCs w:val="24"/>
        </w:rPr>
        <w:t xml:space="preserve"> AtomAccess.py &lt;</w:t>
      </w:r>
      <w:r w:rsidR="00DB1501">
        <w:rPr>
          <w:rFonts w:cs="Times New Roman"/>
          <w:szCs w:val="24"/>
        </w:rPr>
        <w:t>filename</w:t>
      </w:r>
      <w:r w:rsidRPr="00DD5890">
        <w:rPr>
          <w:rFonts w:cs="Times New Roman"/>
          <w:szCs w:val="24"/>
        </w:rPr>
        <w:t>&gt;</w:t>
      </w:r>
      <w:r>
        <w:rPr>
          <w:rFonts w:cs="Times New Roman"/>
          <w:szCs w:val="24"/>
        </w:rPr>
        <w:t xml:space="preserve"> *</w:t>
      </w:r>
      <w:proofErr w:type="spellStart"/>
      <w:r>
        <w:rPr>
          <w:rFonts w:cs="Times New Roman"/>
          <w:szCs w:val="24"/>
        </w:rPr>
        <w:t>args</w:t>
      </w:r>
      <w:proofErr w:type="spellEnd"/>
    </w:p>
    <w:p w14:paraId="28F6F405" w14:textId="77777777" w:rsidR="00C239F1" w:rsidRPr="00DD5890" w:rsidRDefault="00C239F1" w:rsidP="00C239F1">
      <w:pPr>
        <w:rPr>
          <w:rFonts w:cs="Times New Roman"/>
          <w:szCs w:val="24"/>
        </w:rPr>
      </w:pPr>
    </w:p>
    <w:p w14:paraId="48E64E37" w14:textId="11D1DDA7" w:rsidR="00C239F1" w:rsidRPr="00DD5890" w:rsidRDefault="00C239F1" w:rsidP="00A8508D">
      <w:pPr>
        <w:rPr>
          <w:rFonts w:cs="Times New Roman"/>
          <w:szCs w:val="24"/>
        </w:rPr>
      </w:pPr>
      <w:r w:rsidRPr="00DD5890">
        <w:rPr>
          <w:rFonts w:cs="Times New Roman"/>
          <w:szCs w:val="24"/>
        </w:rPr>
        <w:t>Where</w:t>
      </w:r>
      <w:r w:rsidR="00DB1501">
        <w:rPr>
          <w:rFonts w:cs="Times New Roman"/>
          <w:szCs w:val="24"/>
        </w:rPr>
        <w:t xml:space="preserve"> </w:t>
      </w:r>
      <w:r w:rsidRPr="00DD5890">
        <w:rPr>
          <w:rFonts w:cs="Times New Roman"/>
          <w:szCs w:val="24"/>
        </w:rPr>
        <w:t>*</w:t>
      </w:r>
      <w:proofErr w:type="spellStart"/>
      <w:r w:rsidRPr="00DD5890">
        <w:rPr>
          <w:rFonts w:cs="Times New Roman"/>
          <w:szCs w:val="24"/>
        </w:rPr>
        <w:t>args</w:t>
      </w:r>
      <w:proofErr w:type="spellEnd"/>
      <w:r w:rsidRPr="00DD5890">
        <w:rPr>
          <w:rFonts w:cs="Times New Roman"/>
          <w:szCs w:val="24"/>
        </w:rPr>
        <w:t xml:space="preserve"> can include any of the optional arguments given in Table </w:t>
      </w:r>
      <w:r w:rsidR="00F232F2">
        <w:rPr>
          <w:rFonts w:cs="Times New Roman"/>
          <w:szCs w:val="24"/>
        </w:rPr>
        <w:t>1</w:t>
      </w:r>
      <w:r w:rsidRPr="00DD5890">
        <w:rPr>
          <w:rFonts w:cs="Times New Roman"/>
          <w:szCs w:val="24"/>
        </w:rPr>
        <w:t xml:space="preserve">. This will generate </w:t>
      </w:r>
      <w:proofErr w:type="gramStart"/>
      <w:r w:rsidR="00A8508D">
        <w:rPr>
          <w:rFonts w:cs="Times New Roman"/>
          <w:szCs w:val="24"/>
        </w:rPr>
        <w:t>a</w:t>
      </w:r>
      <w:proofErr w:type="gramEnd"/>
      <w:r w:rsidR="00A8508D">
        <w:rPr>
          <w:rFonts w:cs="Times New Roman"/>
          <w:szCs w:val="24"/>
        </w:rPr>
        <w:t xml:space="preserve"> .out file containing the results</w:t>
      </w:r>
      <w:r w:rsidRPr="00DD5890">
        <w:rPr>
          <w:rFonts w:cs="Times New Roman"/>
          <w:szCs w:val="24"/>
        </w:rPr>
        <w:t xml:space="preserve">. </w:t>
      </w:r>
      <w:r w:rsidR="00A8508D">
        <w:rPr>
          <w:rFonts w:cs="Times New Roman"/>
          <w:szCs w:val="24"/>
        </w:rPr>
        <w:t>The input file must have the .xyz extension and follow</w:t>
      </w:r>
      <w:r w:rsidRPr="00DD5890">
        <w:rPr>
          <w:rFonts w:cs="Times New Roman"/>
          <w:szCs w:val="24"/>
        </w:rPr>
        <w:t xml:space="preserve"> standard xyz file conventions</w:t>
      </w:r>
      <w:r w:rsidR="00A8508D">
        <w:rPr>
          <w:rFonts w:cs="Times New Roman"/>
          <w:szCs w:val="24"/>
        </w:rPr>
        <w:t>:</w:t>
      </w:r>
      <w:r w:rsidRPr="00DD5890">
        <w:rPr>
          <w:rFonts w:cs="Times New Roman"/>
          <w:szCs w:val="24"/>
        </w:rPr>
        <w:t xml:space="preserve"> </w:t>
      </w:r>
      <w:r w:rsidR="00BC7DE8">
        <w:rPr>
          <w:rFonts w:cs="Times New Roman"/>
          <w:szCs w:val="24"/>
        </w:rPr>
        <w:t>t</w:t>
      </w:r>
      <w:r w:rsidRPr="00DD5890">
        <w:rPr>
          <w:rFonts w:cs="Times New Roman"/>
          <w:szCs w:val="24"/>
        </w:rPr>
        <w:t xml:space="preserve">he first line is the number of atoms, the second line is a comment line (ignored by </w:t>
      </w:r>
      <w:r w:rsidRPr="00DD5890">
        <w:rPr>
          <w:rFonts w:cs="Times New Roman"/>
          <w:i/>
          <w:szCs w:val="24"/>
        </w:rPr>
        <w:t>AtomAccess</w:t>
      </w:r>
      <w:r w:rsidRPr="00DD5890">
        <w:rPr>
          <w:rFonts w:cs="Times New Roman"/>
          <w:szCs w:val="24"/>
        </w:rPr>
        <w:t>) and the subsequent lines give the atomic symbol and x, y and z coordinates of each atom in Å. The atom of interest (“central atom”) is assumed to be the first atom listed unless specified otherwise using the “</w:t>
      </w:r>
      <w:r w:rsidR="001A5982">
        <w:rPr>
          <w:rFonts w:cs="Times New Roman"/>
          <w:szCs w:val="24"/>
        </w:rPr>
        <w:t>--</w:t>
      </w:r>
      <w:r w:rsidRPr="00DD5890">
        <w:rPr>
          <w:rFonts w:cs="Times New Roman"/>
          <w:szCs w:val="24"/>
        </w:rPr>
        <w:t>atom</w:t>
      </w:r>
      <w:r w:rsidR="0078517E">
        <w:rPr>
          <w:rFonts w:cs="Times New Roman"/>
          <w:szCs w:val="24"/>
        </w:rPr>
        <w:t>”</w:t>
      </w:r>
      <w:r w:rsidRPr="00DD5890">
        <w:rPr>
          <w:rFonts w:cs="Times New Roman"/>
          <w:szCs w:val="24"/>
        </w:rPr>
        <w:t xml:space="preserve"> option</w:t>
      </w:r>
      <w:r w:rsidR="00F232F2">
        <w:rPr>
          <w:rFonts w:cs="Times New Roman"/>
          <w:szCs w:val="24"/>
        </w:rPr>
        <w:t xml:space="preserve"> (Table 1)</w:t>
      </w:r>
      <w:r w:rsidRPr="00DD5890">
        <w:rPr>
          <w:rFonts w:cs="Times New Roman"/>
          <w:szCs w:val="24"/>
        </w:rPr>
        <w:t>.</w:t>
      </w:r>
    </w:p>
    <w:p w14:paraId="22B7F0E8" w14:textId="77777777" w:rsidR="00C239F1" w:rsidRDefault="00C239F1" w:rsidP="00B239CD"/>
    <w:p w14:paraId="7D08D824" w14:textId="642F896A" w:rsidR="00B547B5" w:rsidRPr="00DB3D98" w:rsidRDefault="00B547B5" w:rsidP="00C15F92">
      <w:pPr>
        <w:jc w:val="center"/>
        <w:rPr>
          <w:i/>
        </w:rPr>
      </w:pPr>
      <w:r w:rsidRPr="00DB3D98">
        <w:rPr>
          <w:b/>
        </w:rPr>
        <w:t xml:space="preserve">Table </w:t>
      </w:r>
      <w:r w:rsidR="00F232F2">
        <w:rPr>
          <w:b/>
        </w:rPr>
        <w:t>1</w:t>
      </w:r>
      <w:r w:rsidRPr="00DB3D98">
        <w:rPr>
          <w:b/>
        </w:rPr>
        <w:t>.</w:t>
      </w:r>
      <w:r w:rsidRPr="00DB3D98">
        <w:t xml:space="preserve"> </w:t>
      </w:r>
      <w:r w:rsidR="00C239F1">
        <w:t>O</w:t>
      </w:r>
      <w:r w:rsidR="00D02641" w:rsidRPr="00DB3D98">
        <w:t>ptional argument</w:t>
      </w:r>
      <w:r w:rsidR="00C239F1">
        <w:t>s</w:t>
      </w:r>
      <w:r w:rsidR="00D02641" w:rsidRPr="00DB3D98">
        <w:t xml:space="preserve"> </w:t>
      </w:r>
      <w:r w:rsidRPr="00DB3D98">
        <w:t xml:space="preserve">for </w:t>
      </w:r>
      <w:r w:rsidR="00C239F1">
        <w:rPr>
          <w:i/>
        </w:rPr>
        <w:t>AtomAccess</w:t>
      </w:r>
    </w:p>
    <w:p w14:paraId="4A32DD5B" w14:textId="77777777" w:rsidR="00796BAD" w:rsidRPr="00DB3D98" w:rsidRDefault="00796BAD" w:rsidP="00C15F92">
      <w:pPr>
        <w:jc w:val="center"/>
      </w:pPr>
    </w:p>
    <w:tbl>
      <w:tblPr>
        <w:tblStyle w:val="TableGrid"/>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3"/>
        <w:gridCol w:w="6613"/>
      </w:tblGrid>
      <w:tr w:rsidR="00C15F92" w:rsidRPr="00DB3D98" w14:paraId="6E2F54AB" w14:textId="77777777" w:rsidTr="00BC7DE8">
        <w:trPr>
          <w:trHeight w:val="340"/>
          <w:jc w:val="center"/>
        </w:trPr>
        <w:tc>
          <w:tcPr>
            <w:tcW w:w="2403" w:type="dxa"/>
            <w:vAlign w:val="center"/>
          </w:tcPr>
          <w:p w14:paraId="3B348810" w14:textId="555D7186" w:rsidR="00C15F92" w:rsidRPr="00DB3D98" w:rsidRDefault="00C239F1" w:rsidP="00C239F1">
            <w:pPr>
              <w:jc w:val="left"/>
              <w:rPr>
                <w:b/>
              </w:rPr>
            </w:pPr>
            <w:r>
              <w:rPr>
                <w:b/>
              </w:rPr>
              <w:t>Optional</w:t>
            </w:r>
            <w:r w:rsidR="00833135" w:rsidRPr="00DB3D98">
              <w:rPr>
                <w:b/>
              </w:rPr>
              <w:t xml:space="preserve"> </w:t>
            </w:r>
            <w:r>
              <w:rPr>
                <w:b/>
              </w:rPr>
              <w:t>a</w:t>
            </w:r>
            <w:r w:rsidR="00833135" w:rsidRPr="00DB3D98">
              <w:rPr>
                <w:b/>
              </w:rPr>
              <w:t>rg</w:t>
            </w:r>
            <w:r>
              <w:rPr>
                <w:b/>
              </w:rPr>
              <w:t>uments</w:t>
            </w:r>
            <w:r w:rsidR="00DB3D98" w:rsidRPr="00DB3D98">
              <w:rPr>
                <w:b/>
              </w:rPr>
              <w:t xml:space="preserve"> (*</w:t>
            </w:r>
            <w:proofErr w:type="spellStart"/>
            <w:r w:rsidR="00DB3D98" w:rsidRPr="00DB3D98">
              <w:rPr>
                <w:b/>
              </w:rPr>
              <w:t>args</w:t>
            </w:r>
            <w:proofErr w:type="spellEnd"/>
            <w:r w:rsidR="00DB3D98" w:rsidRPr="00DB3D98">
              <w:rPr>
                <w:b/>
              </w:rPr>
              <w:t>)</w:t>
            </w:r>
          </w:p>
        </w:tc>
        <w:tc>
          <w:tcPr>
            <w:tcW w:w="6613" w:type="dxa"/>
            <w:vAlign w:val="center"/>
          </w:tcPr>
          <w:p w14:paraId="69549D9C" w14:textId="466A6288" w:rsidR="00C15F92" w:rsidRPr="00DB3D98" w:rsidRDefault="00C15F92" w:rsidP="00833135">
            <w:pPr>
              <w:jc w:val="left"/>
              <w:rPr>
                <w:b/>
              </w:rPr>
            </w:pPr>
            <w:r w:rsidRPr="00DB3D98">
              <w:rPr>
                <w:b/>
              </w:rPr>
              <w:t>Description</w:t>
            </w:r>
          </w:p>
        </w:tc>
      </w:tr>
      <w:tr w:rsidR="00C239F1" w:rsidRPr="00DB3D98" w14:paraId="13598913" w14:textId="77777777" w:rsidTr="00BC7DE8">
        <w:trPr>
          <w:trHeight w:val="340"/>
          <w:jc w:val="center"/>
        </w:trPr>
        <w:tc>
          <w:tcPr>
            <w:tcW w:w="2403" w:type="dxa"/>
            <w:vAlign w:val="center"/>
          </w:tcPr>
          <w:p w14:paraId="4F16CDC2" w14:textId="0B48261A" w:rsidR="00C239F1" w:rsidRPr="00F232F2" w:rsidRDefault="00C239F1" w:rsidP="00C239F1">
            <w:pPr>
              <w:jc w:val="left"/>
            </w:pPr>
            <w:r w:rsidRPr="00C239F1">
              <w:t>-</w:t>
            </w:r>
            <w:r w:rsidR="00F232F2">
              <w:t>-</w:t>
            </w:r>
            <w:r w:rsidRPr="00C239F1">
              <w:t>h</w:t>
            </w:r>
            <w:r w:rsidR="00F232F2">
              <w:t xml:space="preserve">elp </w:t>
            </w:r>
            <w:r w:rsidR="00F232F2">
              <w:rPr>
                <w:i/>
              </w:rPr>
              <w:t>or</w:t>
            </w:r>
            <w:r w:rsidR="00F232F2">
              <w:t xml:space="preserve"> -h</w:t>
            </w:r>
          </w:p>
        </w:tc>
        <w:tc>
          <w:tcPr>
            <w:tcW w:w="6613" w:type="dxa"/>
            <w:vAlign w:val="center"/>
          </w:tcPr>
          <w:p w14:paraId="38E06398" w14:textId="31C43582" w:rsidR="00C239F1" w:rsidRPr="00C239F1" w:rsidRDefault="00C239F1" w:rsidP="00833135">
            <w:pPr>
              <w:jc w:val="left"/>
            </w:pPr>
            <w:r w:rsidRPr="00C239F1">
              <w:t>Print help documentation</w:t>
            </w:r>
          </w:p>
        </w:tc>
      </w:tr>
      <w:tr w:rsidR="00C239F1" w:rsidRPr="00DB3D98" w14:paraId="5ADC8B3C" w14:textId="77777777" w:rsidTr="00BC7DE8">
        <w:trPr>
          <w:trHeight w:val="340"/>
          <w:jc w:val="center"/>
        </w:trPr>
        <w:tc>
          <w:tcPr>
            <w:tcW w:w="2403" w:type="dxa"/>
          </w:tcPr>
          <w:p w14:paraId="6032EC5D" w14:textId="0E610F70" w:rsidR="00C239F1" w:rsidRDefault="00C239F1" w:rsidP="00C239F1">
            <w:pPr>
              <w:jc w:val="left"/>
              <w:rPr>
                <w:rFonts w:cs="Times New Roman"/>
                <w:szCs w:val="24"/>
              </w:rPr>
            </w:pPr>
            <w:r w:rsidRPr="00DD5890">
              <w:rPr>
                <w:rFonts w:cs="Times New Roman"/>
                <w:szCs w:val="24"/>
              </w:rPr>
              <w:t>--atom &lt;N&gt;</w:t>
            </w:r>
          </w:p>
          <w:p w14:paraId="3C99F54F" w14:textId="7A9961CC" w:rsidR="001A5982" w:rsidRPr="001A5982" w:rsidRDefault="001A5982" w:rsidP="00C239F1">
            <w:pPr>
              <w:jc w:val="left"/>
              <w:rPr>
                <w:rFonts w:cs="Times New Roman"/>
                <w:i/>
                <w:szCs w:val="24"/>
              </w:rPr>
            </w:pPr>
            <w:r>
              <w:rPr>
                <w:rFonts w:cs="Times New Roman"/>
                <w:i/>
                <w:szCs w:val="24"/>
              </w:rPr>
              <w:t>or</w:t>
            </w:r>
          </w:p>
          <w:p w14:paraId="629BB75D" w14:textId="0E7270F4" w:rsidR="0078517E" w:rsidRPr="001A5982" w:rsidRDefault="001A5982" w:rsidP="001A5982">
            <w:pPr>
              <w:rPr>
                <w:rFonts w:cs="Times New Roman"/>
                <w:szCs w:val="24"/>
              </w:rPr>
            </w:pPr>
            <w:r>
              <w:rPr>
                <w:rFonts w:cs="Times New Roman"/>
                <w:szCs w:val="24"/>
              </w:rPr>
              <w:t>-a &lt;N&gt;</w:t>
            </w:r>
          </w:p>
        </w:tc>
        <w:tc>
          <w:tcPr>
            <w:tcW w:w="6613" w:type="dxa"/>
          </w:tcPr>
          <w:p w14:paraId="5F661300" w14:textId="1AF6E8CC" w:rsidR="00C239F1" w:rsidRPr="00DD5890" w:rsidRDefault="00C239F1" w:rsidP="00C239F1">
            <w:pPr>
              <w:rPr>
                <w:rFonts w:cs="Times New Roman"/>
                <w:szCs w:val="24"/>
              </w:rPr>
            </w:pPr>
            <w:r w:rsidRPr="00DD5890">
              <w:rPr>
                <w:rFonts w:cs="Times New Roman"/>
                <w:szCs w:val="24"/>
              </w:rPr>
              <w:t>Specifies the atom of interest (“central atom”) by the order in which it appears</w:t>
            </w:r>
            <w:r w:rsidR="003B43AB">
              <w:rPr>
                <w:rFonts w:cs="Times New Roman"/>
                <w:szCs w:val="24"/>
              </w:rPr>
              <w:t>.</w:t>
            </w:r>
          </w:p>
          <w:p w14:paraId="0AD6508B" w14:textId="32A95E4F" w:rsidR="00C239F1" w:rsidRPr="00DB3D98" w:rsidRDefault="00C239F1" w:rsidP="0078517E">
            <w:pPr>
              <w:jc w:val="left"/>
            </w:pPr>
            <w:r w:rsidRPr="00DD5890">
              <w:rPr>
                <w:rFonts w:cs="Times New Roman"/>
                <w:szCs w:val="24"/>
              </w:rPr>
              <w:t>Default</w:t>
            </w:r>
            <w:r w:rsidR="0078517E">
              <w:rPr>
                <w:rFonts w:cs="Times New Roman"/>
                <w:szCs w:val="24"/>
              </w:rPr>
              <w:t>:</w:t>
            </w:r>
            <w:r w:rsidRPr="00DD5890">
              <w:rPr>
                <w:rFonts w:cs="Times New Roman"/>
                <w:szCs w:val="24"/>
              </w:rPr>
              <w:t xml:space="preserve"> N = 1</w:t>
            </w:r>
            <w:r w:rsidR="0078517E">
              <w:rPr>
                <w:rFonts w:cs="Times New Roman"/>
                <w:szCs w:val="24"/>
              </w:rPr>
              <w:t xml:space="preserve">, </w:t>
            </w:r>
            <w:r w:rsidRPr="00DD5890">
              <w:rPr>
                <w:rFonts w:cs="Times New Roman"/>
                <w:szCs w:val="24"/>
              </w:rPr>
              <w:t>first atom listed</w:t>
            </w:r>
            <w:r w:rsidR="003B43AB">
              <w:rPr>
                <w:rFonts w:cs="Times New Roman"/>
                <w:szCs w:val="24"/>
              </w:rPr>
              <w:t>.</w:t>
            </w:r>
          </w:p>
        </w:tc>
      </w:tr>
      <w:tr w:rsidR="00C239F1" w:rsidRPr="00DB3D98" w14:paraId="6B85146D" w14:textId="77777777" w:rsidTr="00BC7DE8">
        <w:trPr>
          <w:trHeight w:val="340"/>
          <w:jc w:val="center"/>
        </w:trPr>
        <w:tc>
          <w:tcPr>
            <w:tcW w:w="2403" w:type="dxa"/>
          </w:tcPr>
          <w:p w14:paraId="06A871CA" w14:textId="1E78C6EE" w:rsidR="00C239F1" w:rsidRDefault="00C239F1" w:rsidP="00C239F1">
            <w:pPr>
              <w:rPr>
                <w:rFonts w:cs="Times New Roman"/>
                <w:szCs w:val="24"/>
              </w:rPr>
            </w:pPr>
            <w:r w:rsidRPr="00DD5890">
              <w:rPr>
                <w:rFonts w:cs="Times New Roman"/>
                <w:szCs w:val="24"/>
              </w:rPr>
              <w:t>--density &lt;N&gt;</w:t>
            </w:r>
          </w:p>
          <w:p w14:paraId="65A76104" w14:textId="77777777" w:rsidR="001A5982" w:rsidRPr="001A5982" w:rsidRDefault="001A5982" w:rsidP="001A5982">
            <w:pPr>
              <w:jc w:val="left"/>
              <w:rPr>
                <w:rFonts w:cs="Times New Roman"/>
                <w:i/>
                <w:szCs w:val="24"/>
              </w:rPr>
            </w:pPr>
            <w:r>
              <w:rPr>
                <w:rFonts w:cs="Times New Roman"/>
                <w:i/>
                <w:szCs w:val="24"/>
              </w:rPr>
              <w:t>or</w:t>
            </w:r>
          </w:p>
          <w:p w14:paraId="30C478FF" w14:textId="072209AF" w:rsidR="00C239F1" w:rsidRPr="00DB3D98" w:rsidRDefault="00C239F1" w:rsidP="00C239F1">
            <w:pPr>
              <w:jc w:val="left"/>
            </w:pPr>
            <w:r w:rsidRPr="00DD5890">
              <w:rPr>
                <w:rFonts w:cs="Times New Roman"/>
                <w:szCs w:val="24"/>
              </w:rPr>
              <w:t>-d &lt;N&gt;</w:t>
            </w:r>
          </w:p>
        </w:tc>
        <w:tc>
          <w:tcPr>
            <w:tcW w:w="6613" w:type="dxa"/>
          </w:tcPr>
          <w:p w14:paraId="3109AB09" w14:textId="63349E2B" w:rsidR="00C239F1" w:rsidRPr="00DD5890" w:rsidRDefault="00C239F1" w:rsidP="00C239F1">
            <w:pPr>
              <w:rPr>
                <w:rFonts w:cs="Times New Roman"/>
                <w:szCs w:val="24"/>
              </w:rPr>
            </w:pPr>
            <w:r w:rsidRPr="00DD5890">
              <w:rPr>
                <w:rFonts w:cs="Times New Roman"/>
                <w:szCs w:val="24"/>
              </w:rPr>
              <w:t xml:space="preserve">ZCW integration density, N is an integer, 0 ≤ N ≤ 15. Table </w:t>
            </w:r>
            <w:r w:rsidR="00F232F2">
              <w:rPr>
                <w:rFonts w:cs="Times New Roman"/>
                <w:szCs w:val="24"/>
              </w:rPr>
              <w:t>2</w:t>
            </w:r>
            <w:r w:rsidRPr="00DD5890">
              <w:rPr>
                <w:rFonts w:cs="Times New Roman"/>
                <w:szCs w:val="24"/>
              </w:rPr>
              <w:t xml:space="preserve"> shows the number of directions for each value of N. </w:t>
            </w:r>
          </w:p>
          <w:p w14:paraId="5AF3333D" w14:textId="28A19AB3" w:rsidR="00C239F1" w:rsidRPr="00DD5890" w:rsidRDefault="00C239F1" w:rsidP="00C239F1">
            <w:pPr>
              <w:rPr>
                <w:rFonts w:cs="Times New Roman"/>
                <w:szCs w:val="24"/>
              </w:rPr>
            </w:pPr>
            <w:r w:rsidRPr="00DD5890">
              <w:rPr>
                <w:rFonts w:cs="Times New Roman"/>
                <w:szCs w:val="24"/>
              </w:rPr>
              <w:t>Default</w:t>
            </w:r>
            <w:r w:rsidR="0078517E">
              <w:rPr>
                <w:rFonts w:cs="Times New Roman"/>
                <w:szCs w:val="24"/>
              </w:rPr>
              <w:t xml:space="preserve">: </w:t>
            </w:r>
            <w:r w:rsidRPr="00DD5890">
              <w:rPr>
                <w:rFonts w:cs="Times New Roman"/>
                <w:szCs w:val="24"/>
              </w:rPr>
              <w:t xml:space="preserve">N = 7. </w:t>
            </w:r>
          </w:p>
          <w:p w14:paraId="7C628B40" w14:textId="786F2822" w:rsidR="00C239F1" w:rsidRPr="00DB3D98" w:rsidRDefault="00C239F1" w:rsidP="00C239F1">
            <w:pPr>
              <w:jc w:val="left"/>
            </w:pPr>
            <w:r w:rsidRPr="00DD5890">
              <w:rPr>
                <w:rFonts w:cs="Times New Roman"/>
                <w:szCs w:val="24"/>
              </w:rPr>
              <w:t>Testing indicates a minimum value of 7 should be used for reliable results and values above 11 tend not to improve accuracy. Keep this value constant when comparing structures</w:t>
            </w:r>
            <w:r w:rsidR="0078517E">
              <w:rPr>
                <w:rFonts w:cs="Times New Roman"/>
                <w:szCs w:val="24"/>
              </w:rPr>
              <w:t>.</w:t>
            </w:r>
          </w:p>
        </w:tc>
      </w:tr>
      <w:tr w:rsidR="00C239F1" w:rsidRPr="00DB3D98" w14:paraId="3F50F21F" w14:textId="77777777" w:rsidTr="00BC7DE8">
        <w:trPr>
          <w:trHeight w:val="340"/>
          <w:jc w:val="center"/>
        </w:trPr>
        <w:tc>
          <w:tcPr>
            <w:tcW w:w="2403" w:type="dxa"/>
          </w:tcPr>
          <w:p w14:paraId="788C01E1" w14:textId="43F25683" w:rsidR="001A5982" w:rsidRDefault="001A5982" w:rsidP="001A5982">
            <w:pPr>
              <w:rPr>
                <w:rFonts w:cs="Times New Roman"/>
                <w:szCs w:val="24"/>
              </w:rPr>
            </w:pPr>
            <w:r>
              <w:rPr>
                <w:rFonts w:cs="Times New Roman"/>
                <w:szCs w:val="24"/>
              </w:rPr>
              <w:t>--</w:t>
            </w:r>
            <w:proofErr w:type="spellStart"/>
            <w:r>
              <w:rPr>
                <w:rFonts w:cs="Times New Roman"/>
                <w:szCs w:val="24"/>
              </w:rPr>
              <w:t>radialstep</w:t>
            </w:r>
            <w:proofErr w:type="spellEnd"/>
            <w:r>
              <w:rPr>
                <w:rFonts w:cs="Times New Roman"/>
                <w:szCs w:val="24"/>
              </w:rPr>
              <w:t xml:space="preserve"> &lt;N&gt;</w:t>
            </w:r>
          </w:p>
          <w:p w14:paraId="2E3112EB" w14:textId="77777777" w:rsidR="001A5982" w:rsidRPr="001A5982" w:rsidRDefault="001A5982" w:rsidP="001A5982">
            <w:pPr>
              <w:jc w:val="left"/>
              <w:rPr>
                <w:rFonts w:cs="Times New Roman"/>
                <w:i/>
                <w:szCs w:val="24"/>
              </w:rPr>
            </w:pPr>
            <w:r>
              <w:rPr>
                <w:rFonts w:cs="Times New Roman"/>
                <w:i/>
                <w:szCs w:val="24"/>
              </w:rPr>
              <w:t>or</w:t>
            </w:r>
          </w:p>
          <w:p w14:paraId="22238655" w14:textId="0DA8FF89" w:rsidR="00C239F1" w:rsidRPr="00DB3D98" w:rsidRDefault="00C239F1" w:rsidP="00C239F1">
            <w:pPr>
              <w:jc w:val="left"/>
            </w:pPr>
            <w:r w:rsidRPr="00DD5890">
              <w:rPr>
                <w:rFonts w:cs="Times New Roman"/>
                <w:szCs w:val="24"/>
              </w:rPr>
              <w:t>-r &lt;N&gt;</w:t>
            </w:r>
          </w:p>
        </w:tc>
        <w:tc>
          <w:tcPr>
            <w:tcW w:w="6613" w:type="dxa"/>
          </w:tcPr>
          <w:p w14:paraId="23738D58" w14:textId="77777777" w:rsidR="00C239F1" w:rsidRPr="00DD5890" w:rsidRDefault="00C239F1" w:rsidP="00C239F1">
            <w:pPr>
              <w:rPr>
                <w:rFonts w:cs="Times New Roman"/>
                <w:szCs w:val="24"/>
              </w:rPr>
            </w:pPr>
            <w:r w:rsidRPr="00DD5890">
              <w:rPr>
                <w:rFonts w:cs="Times New Roman"/>
                <w:szCs w:val="24"/>
              </w:rPr>
              <w:t xml:space="preserve">Radial step size in Å. </w:t>
            </w:r>
          </w:p>
          <w:p w14:paraId="23024163" w14:textId="7910730F" w:rsidR="00C239F1" w:rsidRPr="00DD5890" w:rsidRDefault="00C239F1" w:rsidP="00C239F1">
            <w:pPr>
              <w:rPr>
                <w:rFonts w:cs="Times New Roman"/>
                <w:szCs w:val="24"/>
              </w:rPr>
            </w:pPr>
            <w:r w:rsidRPr="00DD5890">
              <w:rPr>
                <w:rFonts w:cs="Times New Roman"/>
                <w:szCs w:val="24"/>
              </w:rPr>
              <w:t>Default N</w:t>
            </w:r>
            <w:r w:rsidR="0078517E">
              <w:rPr>
                <w:rFonts w:cs="Times New Roman"/>
                <w:szCs w:val="24"/>
              </w:rPr>
              <w:t xml:space="preserve">: </w:t>
            </w:r>
            <w:r w:rsidRPr="00DD5890">
              <w:rPr>
                <w:rFonts w:cs="Times New Roman"/>
                <w:szCs w:val="24"/>
              </w:rPr>
              <w:t>0.05</w:t>
            </w:r>
            <w:r w:rsidR="0078517E">
              <w:rPr>
                <w:rFonts w:cs="Times New Roman"/>
                <w:szCs w:val="24"/>
              </w:rPr>
              <w:t>.</w:t>
            </w:r>
          </w:p>
          <w:p w14:paraId="47E535E2" w14:textId="3AB3181D" w:rsidR="00C239F1" w:rsidRPr="00DB3D98" w:rsidRDefault="00C239F1" w:rsidP="00C239F1">
            <w:pPr>
              <w:jc w:val="left"/>
            </w:pPr>
            <w:r w:rsidRPr="00DD5890">
              <w:rPr>
                <w:rFonts w:cs="Times New Roman"/>
                <w:szCs w:val="24"/>
              </w:rPr>
              <w:t>A value of 0.05 is generally sufficient. In some cases slightly more accurate results will be obtained with 0.02 or 0.01</w:t>
            </w:r>
            <w:r w:rsidR="0078517E">
              <w:rPr>
                <w:rFonts w:cs="Times New Roman"/>
                <w:szCs w:val="24"/>
              </w:rPr>
              <w:t>.</w:t>
            </w:r>
          </w:p>
        </w:tc>
      </w:tr>
      <w:tr w:rsidR="00C239F1" w:rsidRPr="00DB3D98" w14:paraId="29B09A05" w14:textId="77777777" w:rsidTr="00BC7DE8">
        <w:trPr>
          <w:trHeight w:val="340"/>
          <w:jc w:val="center"/>
        </w:trPr>
        <w:tc>
          <w:tcPr>
            <w:tcW w:w="2403" w:type="dxa"/>
          </w:tcPr>
          <w:p w14:paraId="4F5D4DCA" w14:textId="77777777" w:rsidR="00C239F1" w:rsidRPr="00DD5890" w:rsidRDefault="00C239F1" w:rsidP="00C239F1">
            <w:pPr>
              <w:rPr>
                <w:rFonts w:cs="Times New Roman"/>
                <w:szCs w:val="24"/>
              </w:rPr>
            </w:pPr>
            <w:r w:rsidRPr="00DD5890">
              <w:rPr>
                <w:rFonts w:cs="Times New Roman"/>
                <w:szCs w:val="24"/>
              </w:rPr>
              <w:t>--</w:t>
            </w:r>
            <w:proofErr w:type="spellStart"/>
            <w:r w:rsidRPr="00DD5890">
              <w:rPr>
                <w:rFonts w:cs="Times New Roman"/>
                <w:szCs w:val="24"/>
              </w:rPr>
              <w:t>clusterthreshold</w:t>
            </w:r>
            <w:proofErr w:type="spellEnd"/>
            <w:r w:rsidRPr="00DD5890">
              <w:rPr>
                <w:rFonts w:cs="Times New Roman"/>
                <w:szCs w:val="24"/>
              </w:rPr>
              <w:t xml:space="preserve"> &lt;N&gt;</w:t>
            </w:r>
          </w:p>
          <w:p w14:paraId="298BA0B6" w14:textId="77777777" w:rsidR="001A5982" w:rsidRPr="001A5982" w:rsidRDefault="001A5982" w:rsidP="00C239F1">
            <w:pPr>
              <w:jc w:val="left"/>
              <w:rPr>
                <w:rFonts w:cs="Times New Roman"/>
                <w:i/>
                <w:szCs w:val="24"/>
              </w:rPr>
            </w:pPr>
            <w:r w:rsidRPr="001A5982">
              <w:rPr>
                <w:rFonts w:cs="Times New Roman"/>
                <w:i/>
                <w:szCs w:val="24"/>
              </w:rPr>
              <w:t>or</w:t>
            </w:r>
          </w:p>
          <w:p w14:paraId="01E3B657" w14:textId="40AF8B9B" w:rsidR="00C239F1" w:rsidRPr="00DB3D98" w:rsidRDefault="00C239F1" w:rsidP="00C239F1">
            <w:pPr>
              <w:jc w:val="left"/>
              <w:rPr>
                <w:b/>
              </w:rPr>
            </w:pPr>
            <w:r w:rsidRPr="00DD5890">
              <w:rPr>
                <w:rFonts w:cs="Times New Roman"/>
                <w:szCs w:val="24"/>
              </w:rPr>
              <w:t>-t &lt;N&gt;</w:t>
            </w:r>
          </w:p>
        </w:tc>
        <w:tc>
          <w:tcPr>
            <w:tcW w:w="6613" w:type="dxa"/>
          </w:tcPr>
          <w:p w14:paraId="74547B86" w14:textId="77777777" w:rsidR="00C239F1" w:rsidRPr="00DD5890" w:rsidRDefault="00C239F1" w:rsidP="00C239F1">
            <w:pPr>
              <w:rPr>
                <w:rFonts w:cs="Times New Roman"/>
                <w:szCs w:val="24"/>
              </w:rPr>
            </w:pPr>
            <w:r w:rsidRPr="00DD5890">
              <w:rPr>
                <w:rFonts w:cs="Times New Roman"/>
                <w:szCs w:val="24"/>
              </w:rPr>
              <w:t>%VSA cluster threshold. Clusters of visible points below this size will be discarded and considered as blocked.</w:t>
            </w:r>
          </w:p>
          <w:p w14:paraId="17D6E234" w14:textId="16C07732" w:rsidR="00C239F1" w:rsidRPr="00DB3D98" w:rsidRDefault="0078517E" w:rsidP="00C239F1">
            <w:pPr>
              <w:jc w:val="left"/>
              <w:rPr>
                <w:b/>
              </w:rPr>
            </w:pPr>
            <w:r>
              <w:rPr>
                <w:rFonts w:cs="Times New Roman"/>
                <w:szCs w:val="24"/>
              </w:rPr>
              <w:t>Default N:</w:t>
            </w:r>
            <w:r w:rsidR="00C239F1" w:rsidRPr="00DD5890">
              <w:rPr>
                <w:rFonts w:cs="Times New Roman"/>
                <w:szCs w:val="24"/>
              </w:rPr>
              <w:t xml:space="preserve"> 0, no clusters discarded</w:t>
            </w:r>
            <w:r>
              <w:rPr>
                <w:rFonts w:cs="Times New Roman"/>
                <w:szCs w:val="24"/>
              </w:rPr>
              <w:t>.</w:t>
            </w:r>
          </w:p>
        </w:tc>
      </w:tr>
      <w:tr w:rsidR="00C239F1" w:rsidRPr="00DB3D98" w14:paraId="26178377" w14:textId="77777777" w:rsidTr="00BC7DE8">
        <w:trPr>
          <w:trHeight w:val="397"/>
          <w:jc w:val="center"/>
        </w:trPr>
        <w:tc>
          <w:tcPr>
            <w:tcW w:w="2403" w:type="dxa"/>
          </w:tcPr>
          <w:p w14:paraId="28D00CA6" w14:textId="05BB8E97" w:rsidR="00C239F1" w:rsidRPr="00DB3D98" w:rsidRDefault="00C239F1" w:rsidP="00C239F1">
            <w:pPr>
              <w:jc w:val="left"/>
            </w:pPr>
            <w:r w:rsidRPr="00DD5890">
              <w:rPr>
                <w:rFonts w:cs="Times New Roman"/>
                <w:szCs w:val="24"/>
              </w:rPr>
              <w:t>--covalent</w:t>
            </w:r>
          </w:p>
        </w:tc>
        <w:tc>
          <w:tcPr>
            <w:tcW w:w="6613" w:type="dxa"/>
          </w:tcPr>
          <w:p w14:paraId="5081FEC4" w14:textId="225F6F72" w:rsidR="00C239F1" w:rsidRPr="00DB3D98" w:rsidRDefault="00C239F1" w:rsidP="00C239F1">
            <w:pPr>
              <w:jc w:val="left"/>
            </w:pPr>
            <w:r w:rsidRPr="00DD5890">
              <w:rPr>
                <w:rFonts w:cs="Times New Roman"/>
                <w:szCs w:val="24"/>
              </w:rPr>
              <w:t>Override to use covalent radii</w:t>
            </w:r>
          </w:p>
        </w:tc>
      </w:tr>
      <w:tr w:rsidR="00C239F1" w:rsidRPr="00DB3D98" w14:paraId="6C8ACAC7" w14:textId="77777777" w:rsidTr="00BC7DE8">
        <w:trPr>
          <w:trHeight w:val="397"/>
          <w:jc w:val="center"/>
        </w:trPr>
        <w:tc>
          <w:tcPr>
            <w:tcW w:w="2403" w:type="dxa"/>
          </w:tcPr>
          <w:p w14:paraId="6F1B3309" w14:textId="26606B2C" w:rsidR="00C239F1" w:rsidRPr="00DB3D98" w:rsidRDefault="00C239F1" w:rsidP="00C239F1">
            <w:pPr>
              <w:jc w:val="left"/>
            </w:pPr>
            <w:r w:rsidRPr="00DD5890">
              <w:rPr>
                <w:rFonts w:cs="Times New Roman"/>
                <w:szCs w:val="24"/>
              </w:rPr>
              <w:t>--</w:t>
            </w:r>
            <w:proofErr w:type="spellStart"/>
            <w:r w:rsidRPr="00DD5890">
              <w:rPr>
                <w:rFonts w:cs="Times New Roman"/>
                <w:szCs w:val="24"/>
              </w:rPr>
              <w:t>nonbonded</w:t>
            </w:r>
            <w:proofErr w:type="spellEnd"/>
          </w:p>
        </w:tc>
        <w:tc>
          <w:tcPr>
            <w:tcW w:w="6613" w:type="dxa"/>
          </w:tcPr>
          <w:p w14:paraId="0181D310" w14:textId="74B939BE" w:rsidR="00C239F1" w:rsidRPr="00DB3D98" w:rsidRDefault="00C239F1" w:rsidP="00C239F1">
            <w:pPr>
              <w:jc w:val="left"/>
            </w:pPr>
            <w:r w:rsidRPr="00DD5890">
              <w:rPr>
                <w:rFonts w:cs="Times New Roman"/>
                <w:szCs w:val="24"/>
              </w:rPr>
              <w:t>Override to use non-bonded radii</w:t>
            </w:r>
          </w:p>
        </w:tc>
      </w:tr>
      <w:tr w:rsidR="00C239F1" w:rsidRPr="00DB3D98" w14:paraId="1F915585" w14:textId="77777777" w:rsidTr="00BC7DE8">
        <w:trPr>
          <w:trHeight w:val="397"/>
          <w:jc w:val="center"/>
        </w:trPr>
        <w:tc>
          <w:tcPr>
            <w:tcW w:w="2403" w:type="dxa"/>
          </w:tcPr>
          <w:p w14:paraId="23921674" w14:textId="0ACD8DC5" w:rsidR="00C239F1" w:rsidRPr="00DB3D98" w:rsidRDefault="00C239F1" w:rsidP="00C239F1">
            <w:pPr>
              <w:jc w:val="left"/>
            </w:pPr>
            <w:r w:rsidRPr="00DD5890">
              <w:rPr>
                <w:rFonts w:cs="Times New Roman"/>
                <w:szCs w:val="24"/>
              </w:rPr>
              <w:t>--csv</w:t>
            </w:r>
          </w:p>
        </w:tc>
        <w:tc>
          <w:tcPr>
            <w:tcW w:w="6613" w:type="dxa"/>
          </w:tcPr>
          <w:p w14:paraId="36741D35" w14:textId="0036A1D5" w:rsidR="00C239F1" w:rsidRPr="00DB3D98" w:rsidRDefault="00C239F1" w:rsidP="00A8508D">
            <w:pPr>
              <w:jc w:val="left"/>
            </w:pPr>
            <w:r w:rsidRPr="00DD5890">
              <w:rPr>
                <w:rFonts w:cs="Times New Roman"/>
                <w:szCs w:val="24"/>
              </w:rPr>
              <w:t>Save csv file of visible polar coordinates (</w:t>
            </w:r>
            <w:proofErr w:type="spellStart"/>
            <w:r w:rsidRPr="00DD5890">
              <w:rPr>
                <w:rFonts w:cs="Times New Roman"/>
                <w:szCs w:val="24"/>
              </w:rPr>
              <w:t>θ</w:t>
            </w:r>
            <w:proofErr w:type="gramStart"/>
            <w:r w:rsidRPr="00DD5890">
              <w:rPr>
                <w:rFonts w:cs="Times New Roman"/>
                <w:szCs w:val="24"/>
              </w:rPr>
              <w:t>,φ</w:t>
            </w:r>
            <w:proofErr w:type="spellEnd"/>
            <w:proofErr w:type="gramEnd"/>
            <w:r w:rsidRPr="00DD5890">
              <w:rPr>
                <w:rFonts w:cs="Times New Roman"/>
                <w:szCs w:val="24"/>
              </w:rPr>
              <w:t>). Only recommended for smaller ZCW integration densities</w:t>
            </w:r>
            <w:r w:rsidR="0078517E">
              <w:rPr>
                <w:rFonts w:cs="Times New Roman"/>
                <w:szCs w:val="24"/>
              </w:rPr>
              <w:t>.</w:t>
            </w:r>
          </w:p>
        </w:tc>
      </w:tr>
      <w:tr w:rsidR="00C239F1" w:rsidRPr="00DB3D98" w14:paraId="2C2893EC" w14:textId="77777777" w:rsidTr="00BC7DE8">
        <w:trPr>
          <w:trHeight w:val="397"/>
          <w:jc w:val="center"/>
        </w:trPr>
        <w:tc>
          <w:tcPr>
            <w:tcW w:w="2403" w:type="dxa"/>
          </w:tcPr>
          <w:p w14:paraId="258A8BEF" w14:textId="6DBD5771" w:rsidR="00C239F1" w:rsidRPr="00DB3D98" w:rsidRDefault="00C239F1" w:rsidP="00C239F1">
            <w:pPr>
              <w:jc w:val="left"/>
            </w:pPr>
            <w:r w:rsidRPr="00DD5890">
              <w:rPr>
                <w:rFonts w:cs="Times New Roman"/>
                <w:szCs w:val="24"/>
              </w:rPr>
              <w:t>--batch</w:t>
            </w:r>
          </w:p>
        </w:tc>
        <w:tc>
          <w:tcPr>
            <w:tcW w:w="6613" w:type="dxa"/>
          </w:tcPr>
          <w:p w14:paraId="4F2727A4" w14:textId="3DF0C3DA" w:rsidR="00C239F1" w:rsidRPr="00EB7793" w:rsidRDefault="00C239F1" w:rsidP="00C239F1">
            <w:pPr>
              <w:jc w:val="left"/>
              <w:rPr>
                <w:rFonts w:eastAsiaTheme="minorEastAsia"/>
              </w:rPr>
            </w:pPr>
            <w:r w:rsidRPr="00DD5890">
              <w:rPr>
                <w:rFonts w:cs="Times New Roman"/>
                <w:szCs w:val="24"/>
              </w:rPr>
              <w:t xml:space="preserve">Save a csv file with tabulated results. This can be used to collate results from multiple instances of </w:t>
            </w:r>
            <w:r w:rsidRPr="00DD5890">
              <w:rPr>
                <w:rFonts w:cs="Times New Roman"/>
                <w:i/>
                <w:szCs w:val="24"/>
              </w:rPr>
              <w:t>AtomAccess</w:t>
            </w:r>
            <w:r w:rsidRPr="00DD5890">
              <w:rPr>
                <w:rFonts w:cs="Times New Roman"/>
                <w:szCs w:val="24"/>
              </w:rPr>
              <w:t>. An input file &lt;</w:t>
            </w:r>
            <w:proofErr w:type="spellStart"/>
            <w:r w:rsidRPr="00DD5890">
              <w:rPr>
                <w:rFonts w:cs="Times New Roman"/>
                <w:szCs w:val="24"/>
              </w:rPr>
              <w:t>GroupID</w:t>
            </w:r>
            <w:proofErr w:type="spellEnd"/>
            <w:r w:rsidRPr="00DD5890">
              <w:rPr>
                <w:rFonts w:cs="Times New Roman"/>
                <w:szCs w:val="24"/>
              </w:rPr>
              <w:t>&gt;.&lt;</w:t>
            </w:r>
            <w:proofErr w:type="spellStart"/>
            <w:r w:rsidRPr="00DD5890">
              <w:rPr>
                <w:rFonts w:cs="Times New Roman"/>
                <w:szCs w:val="24"/>
              </w:rPr>
              <w:t>UniqueID</w:t>
            </w:r>
            <w:proofErr w:type="spellEnd"/>
            <w:r w:rsidRPr="00DD5890">
              <w:rPr>
                <w:rFonts w:cs="Times New Roman"/>
                <w:szCs w:val="24"/>
              </w:rPr>
              <w:t>&gt;.xyz will result in a line being added to the file &lt;</w:t>
            </w:r>
            <w:proofErr w:type="spellStart"/>
            <w:r w:rsidRPr="00DD5890">
              <w:rPr>
                <w:rFonts w:cs="Times New Roman"/>
                <w:szCs w:val="24"/>
              </w:rPr>
              <w:t>GroupID</w:t>
            </w:r>
            <w:proofErr w:type="spellEnd"/>
            <w:r w:rsidRPr="00DD5890">
              <w:rPr>
                <w:rFonts w:cs="Times New Roman"/>
                <w:szCs w:val="24"/>
              </w:rPr>
              <w:t>&gt;_&lt;</w:t>
            </w:r>
            <w:proofErr w:type="spellStart"/>
            <w:r w:rsidRPr="00DD5890">
              <w:rPr>
                <w:rFonts w:cs="Times New Roman"/>
                <w:szCs w:val="24"/>
              </w:rPr>
              <w:t>clusterthreshold</w:t>
            </w:r>
            <w:proofErr w:type="spellEnd"/>
            <w:r w:rsidRPr="00DD5890">
              <w:rPr>
                <w:rFonts w:cs="Times New Roman"/>
                <w:szCs w:val="24"/>
              </w:rPr>
              <w:t>&gt;_&lt;</w:t>
            </w:r>
            <w:proofErr w:type="spellStart"/>
            <w:r w:rsidRPr="00DD5890">
              <w:rPr>
                <w:rFonts w:cs="Times New Roman"/>
                <w:szCs w:val="24"/>
              </w:rPr>
              <w:t>radialstep</w:t>
            </w:r>
            <w:proofErr w:type="spellEnd"/>
            <w:r w:rsidRPr="00DD5890">
              <w:rPr>
                <w:rFonts w:cs="Times New Roman"/>
                <w:szCs w:val="24"/>
              </w:rPr>
              <w:t>&gt;_&lt;</w:t>
            </w:r>
            <w:proofErr w:type="spellStart"/>
            <w:r w:rsidRPr="00DD5890">
              <w:rPr>
                <w:rFonts w:cs="Times New Roman"/>
                <w:szCs w:val="24"/>
              </w:rPr>
              <w:t>radiustype</w:t>
            </w:r>
            <w:proofErr w:type="spellEnd"/>
            <w:r w:rsidRPr="00DD5890">
              <w:rPr>
                <w:rFonts w:cs="Times New Roman"/>
                <w:szCs w:val="24"/>
              </w:rPr>
              <w:t>&gt;.csv</w:t>
            </w:r>
          </w:p>
        </w:tc>
      </w:tr>
      <w:tr w:rsidR="00DB1501" w:rsidRPr="00DB3D98" w14:paraId="7EF57998" w14:textId="77777777" w:rsidTr="00BC7DE8">
        <w:trPr>
          <w:trHeight w:val="397"/>
          <w:jc w:val="center"/>
        </w:trPr>
        <w:tc>
          <w:tcPr>
            <w:tcW w:w="2403" w:type="dxa"/>
          </w:tcPr>
          <w:p w14:paraId="68061088" w14:textId="01E4601E" w:rsidR="00DB1501" w:rsidRPr="00DD5890" w:rsidRDefault="00DB1501" w:rsidP="00DB1501">
            <w:pPr>
              <w:jc w:val="left"/>
              <w:rPr>
                <w:rFonts w:cs="Times New Roman"/>
                <w:szCs w:val="24"/>
              </w:rPr>
            </w:pPr>
            <w:r w:rsidRPr="00DD5890">
              <w:rPr>
                <w:rFonts w:cs="Times New Roman"/>
                <w:szCs w:val="24"/>
              </w:rPr>
              <w:t>--</w:t>
            </w:r>
            <w:proofErr w:type="spellStart"/>
            <w:r w:rsidRPr="00DD5890">
              <w:rPr>
                <w:rFonts w:cs="Times New Roman"/>
                <w:szCs w:val="24"/>
              </w:rPr>
              <w:t>Cp</w:t>
            </w:r>
            <w:proofErr w:type="spellEnd"/>
          </w:p>
        </w:tc>
        <w:tc>
          <w:tcPr>
            <w:tcW w:w="6613" w:type="dxa"/>
          </w:tcPr>
          <w:p w14:paraId="4BB52266" w14:textId="2883BD72" w:rsidR="00DB1501" w:rsidRPr="00DD5890" w:rsidRDefault="00DB1501" w:rsidP="00DB1501">
            <w:pPr>
              <w:jc w:val="left"/>
              <w:rPr>
                <w:rFonts w:cs="Times New Roman"/>
                <w:szCs w:val="24"/>
              </w:rPr>
            </w:pPr>
            <w:r>
              <w:rPr>
                <w:rFonts w:cs="Times New Roman"/>
                <w:szCs w:val="24"/>
              </w:rPr>
              <w:t>Report</w:t>
            </w:r>
            <w:r w:rsidRPr="00DD5890">
              <w:rPr>
                <w:rFonts w:cs="Times New Roman"/>
                <w:szCs w:val="24"/>
              </w:rPr>
              <w:t xml:space="preserve"> M-</w:t>
            </w:r>
            <w:proofErr w:type="spellStart"/>
            <w:r w:rsidRPr="00DD5890">
              <w:rPr>
                <w:rFonts w:cs="Times New Roman"/>
                <w:szCs w:val="24"/>
              </w:rPr>
              <w:t>Cp</w:t>
            </w:r>
            <w:r w:rsidRPr="00DD5890">
              <w:rPr>
                <w:rFonts w:cs="Times New Roman"/>
                <w:szCs w:val="24"/>
                <w:vertAlign w:val="subscript"/>
              </w:rPr>
              <w:t>cent</w:t>
            </w:r>
            <w:proofErr w:type="spellEnd"/>
            <w:r w:rsidRPr="00DD5890">
              <w:rPr>
                <w:rFonts w:cs="Times New Roman"/>
                <w:szCs w:val="24"/>
              </w:rPr>
              <w:t xml:space="preserve"> distances and </w:t>
            </w:r>
            <w:proofErr w:type="spellStart"/>
            <w:r w:rsidRPr="00DD5890">
              <w:rPr>
                <w:rFonts w:cs="Times New Roman"/>
                <w:szCs w:val="24"/>
              </w:rPr>
              <w:t>Cp</w:t>
            </w:r>
            <w:r w:rsidRPr="00DD5890">
              <w:rPr>
                <w:rFonts w:cs="Times New Roman"/>
                <w:szCs w:val="24"/>
                <w:vertAlign w:val="subscript"/>
              </w:rPr>
              <w:t>cent</w:t>
            </w:r>
            <w:proofErr w:type="spellEnd"/>
            <w:r w:rsidRPr="00DD5890">
              <w:rPr>
                <w:rFonts w:cs="Times New Roman"/>
                <w:szCs w:val="24"/>
              </w:rPr>
              <w:noBreakHyphen/>
              <w:t>M-</w:t>
            </w:r>
            <w:proofErr w:type="spellStart"/>
            <w:r w:rsidRPr="00DD5890">
              <w:rPr>
                <w:rFonts w:cs="Times New Roman"/>
                <w:szCs w:val="24"/>
              </w:rPr>
              <w:t>Cp</w:t>
            </w:r>
            <w:r w:rsidRPr="00DD5890">
              <w:rPr>
                <w:rFonts w:cs="Times New Roman"/>
                <w:szCs w:val="24"/>
                <w:vertAlign w:val="subscript"/>
              </w:rPr>
              <w:t>cent</w:t>
            </w:r>
            <w:proofErr w:type="spellEnd"/>
            <w:r w:rsidRPr="00DD5890">
              <w:rPr>
                <w:rFonts w:cs="Times New Roman"/>
                <w:szCs w:val="24"/>
              </w:rPr>
              <w:t xml:space="preserve"> angle for </w:t>
            </w:r>
            <w:proofErr w:type="gramStart"/>
            <w:r w:rsidRPr="00DD5890">
              <w:rPr>
                <w:rFonts w:cs="Times New Roman"/>
                <w:szCs w:val="24"/>
              </w:rPr>
              <w:t>M(</w:t>
            </w:r>
            <w:proofErr w:type="spellStart"/>
            <w:proofErr w:type="gramEnd"/>
            <w:r w:rsidRPr="00DD5890">
              <w:rPr>
                <w:rFonts w:cs="Times New Roman"/>
                <w:szCs w:val="24"/>
              </w:rPr>
              <w:t>Cp</w:t>
            </w:r>
            <w:r w:rsidRPr="00DD5890">
              <w:rPr>
                <w:rFonts w:cs="Times New Roman"/>
                <w:szCs w:val="24"/>
                <w:vertAlign w:val="superscript"/>
              </w:rPr>
              <w:t>R</w:t>
            </w:r>
            <w:proofErr w:type="spellEnd"/>
            <w:r w:rsidRPr="00DD5890">
              <w:rPr>
                <w:rFonts w:cs="Times New Roman"/>
                <w:szCs w:val="24"/>
              </w:rPr>
              <w:t>)</w:t>
            </w:r>
            <w:r w:rsidRPr="00DD5890">
              <w:rPr>
                <w:rFonts w:cs="Times New Roman"/>
                <w:szCs w:val="24"/>
                <w:vertAlign w:val="subscript"/>
              </w:rPr>
              <w:t>2</w:t>
            </w:r>
            <w:r w:rsidRPr="00DD5890">
              <w:rPr>
                <w:rFonts w:cs="Times New Roman"/>
                <w:szCs w:val="24"/>
              </w:rPr>
              <w:t xml:space="preserve"> complexes</w:t>
            </w:r>
            <w:r>
              <w:rPr>
                <w:rFonts w:cs="Times New Roman"/>
                <w:szCs w:val="24"/>
              </w:rPr>
              <w:t>.</w:t>
            </w:r>
          </w:p>
        </w:tc>
      </w:tr>
    </w:tbl>
    <w:p w14:paraId="69D94FC0" w14:textId="56D904BF" w:rsidR="00F232F2" w:rsidRDefault="00F232F2" w:rsidP="00F232F2">
      <w:pPr>
        <w:rPr>
          <w:rFonts w:cs="Times New Roman"/>
          <w:szCs w:val="24"/>
        </w:rPr>
      </w:pPr>
      <w:r w:rsidRPr="00DD5890">
        <w:rPr>
          <w:rFonts w:cs="Times New Roman"/>
          <w:i/>
          <w:szCs w:val="24"/>
        </w:rPr>
        <w:lastRenderedPageBreak/>
        <w:t>AtomAccess</w:t>
      </w:r>
      <w:r w:rsidRPr="00DD5890">
        <w:rPr>
          <w:rFonts w:cs="Times New Roman"/>
          <w:szCs w:val="24"/>
        </w:rPr>
        <w:t xml:space="preserve"> uses a ZCW angular grid centred on the central atom to define the direction of each ray;</w:t>
      </w:r>
      <w:r w:rsidR="00BC7DE8" w:rsidRPr="00DD5890">
        <w:rPr>
          <w:rFonts w:cs="Times New Roman"/>
          <w:szCs w:val="24"/>
        </w:rPr>
        <w:fldChar w:fldCharType="begin" w:fldLock="1"/>
      </w:r>
      <w:r w:rsidR="00BC7DE8">
        <w:rPr>
          <w:rFonts w:cs="Times New Roman"/>
          <w:szCs w:val="24"/>
        </w:rPr>
        <w:instrText>ADDIN CSL_CITATION {"citationItems":[{"id":"ITEM-1","itemData":{"DOI":"10.1006/jmre.1998.1427","ISSN":"10907807","abstract":"We investigate Gaussian spherical quadrature as a method for calculating orientational averages in solid-state NMR. For the case of magic-angle-spinning sideband amplitudes of isolated spins-1/2, we demonstrate the superiority of Gaussian spherical quadrature over other orientational averaging methods. Depending on the shift anisotropy parameters and the desired accuracy, the computation speed is enhanced by a large factor (between two and many hundreds). In addition, a method for improving any present sampling scheme is devised. Such schemes are called SHREWD (Spherical Harmonic Reduction or Elimination by a Weighted Distribution). The role of orientational symmetry in solid-state NMR is explored. We also discuss the limitations of the Gaussian spherical quadrature methods.","author":[{"dropping-particle":"","family":"Edén","given":"Mattias","non-dropping-particle":"","parse-names":false,"suffix":""},{"dropping-particle":"","family":"Levitt","given":"Malcolm H","non-dropping-particle":"","parse-names":false,"suffix":""}],"container-title":"Journal of Magnetic Resonance","id":"ITEM-1","issue":"2","issued":{"date-parts":[["1998","6"]]},"page":"220-239","title":"Computation of Orientational Averages in Solid-State NMR by Gaussian Spherical Quadrature","type":"article-journal","volume":"132"},"uris":["http://www.mendeley.com/documents/?uuid=4d30bd78-f8d0-395a-9037-57781e1b2759"]}],"mendeley":{"formattedCitation":"&lt;sup&gt;5&lt;/sup&gt;","plainTextFormattedCitation":"5","previouslyFormattedCitation":"&lt;sup&gt;4&lt;/sup&gt;"},"properties":{"noteIndex":0},"schema":"https://github.com/citation-style-language/schema/raw/master/csl-citation.json"}</w:instrText>
      </w:r>
      <w:r w:rsidR="00BC7DE8" w:rsidRPr="00DD5890">
        <w:rPr>
          <w:rFonts w:cs="Times New Roman"/>
          <w:szCs w:val="24"/>
        </w:rPr>
        <w:fldChar w:fldCharType="separate"/>
      </w:r>
      <w:r w:rsidR="00BC7DE8" w:rsidRPr="003B43AB">
        <w:rPr>
          <w:rFonts w:cs="Times New Roman"/>
          <w:noProof/>
          <w:szCs w:val="24"/>
          <w:vertAlign w:val="superscript"/>
        </w:rPr>
        <w:t>5</w:t>
      </w:r>
      <w:r w:rsidR="00BC7DE8" w:rsidRPr="00DD5890">
        <w:rPr>
          <w:rFonts w:cs="Times New Roman"/>
          <w:szCs w:val="24"/>
        </w:rPr>
        <w:fldChar w:fldCharType="end"/>
      </w:r>
      <w:r w:rsidRPr="00DD5890">
        <w:rPr>
          <w:rFonts w:cs="Times New Roman"/>
          <w:szCs w:val="24"/>
        </w:rPr>
        <w:t xml:space="preserve"> the remaining atoms will be referred to as peripheral atoms. The ZCW density can take values between 0 and 15 but does not scale linearly with the number of directions (Table </w:t>
      </w:r>
      <w:r>
        <w:rPr>
          <w:rFonts w:cs="Times New Roman"/>
          <w:szCs w:val="24"/>
        </w:rPr>
        <w:t>2).</w:t>
      </w:r>
    </w:p>
    <w:p w14:paraId="50D560E6" w14:textId="16A26C09" w:rsidR="00F232F2" w:rsidRDefault="00F232F2" w:rsidP="00F232F2">
      <w:pPr>
        <w:rPr>
          <w:rFonts w:cs="Times New Roman"/>
          <w:szCs w:val="24"/>
        </w:rPr>
      </w:pPr>
    </w:p>
    <w:p w14:paraId="24F343D4" w14:textId="7F551F12" w:rsidR="00F232F2" w:rsidRPr="00DB3D98" w:rsidRDefault="00F232F2" w:rsidP="00F232F2">
      <w:pPr>
        <w:jc w:val="center"/>
        <w:rPr>
          <w:i/>
        </w:rPr>
      </w:pPr>
      <w:r w:rsidRPr="00DB3D98">
        <w:rPr>
          <w:b/>
        </w:rPr>
        <w:t xml:space="preserve">Table </w:t>
      </w:r>
      <w:r>
        <w:rPr>
          <w:b/>
        </w:rPr>
        <w:t>2</w:t>
      </w:r>
      <w:r w:rsidRPr="00DB3D98">
        <w:rPr>
          <w:b/>
        </w:rPr>
        <w:t>.</w:t>
      </w:r>
      <w:r w:rsidRPr="00DB3D98">
        <w:t xml:space="preserve"> </w:t>
      </w:r>
      <w:r w:rsidRPr="00DD5890">
        <w:rPr>
          <w:rFonts w:cs="Times New Roman"/>
          <w:szCs w:val="24"/>
        </w:rPr>
        <w:t>Number of directions in ZCW integration</w:t>
      </w:r>
    </w:p>
    <w:p w14:paraId="237DE18D" w14:textId="77777777" w:rsidR="00F232F2" w:rsidRPr="00DB3D98" w:rsidRDefault="00F232F2" w:rsidP="00F232F2">
      <w:pPr>
        <w:jc w:val="center"/>
      </w:pPr>
    </w:p>
    <w:tbl>
      <w:tblPr>
        <w:tblStyle w:val="TableGrid"/>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10"/>
        <w:gridCol w:w="2563"/>
      </w:tblGrid>
      <w:tr w:rsidR="00F232F2" w:rsidRPr="00DB3D98" w14:paraId="596E39ED" w14:textId="77777777" w:rsidTr="00BC7DE8">
        <w:trPr>
          <w:trHeight w:val="340"/>
          <w:jc w:val="center"/>
        </w:trPr>
        <w:tc>
          <w:tcPr>
            <w:tcW w:w="1110" w:type="dxa"/>
            <w:vAlign w:val="bottom"/>
          </w:tcPr>
          <w:p w14:paraId="2F42A747" w14:textId="77777777" w:rsidR="00F232F2" w:rsidRPr="00DB3D98" w:rsidRDefault="00F232F2" w:rsidP="00981CE5">
            <w:pPr>
              <w:jc w:val="left"/>
              <w:rPr>
                <w:b/>
              </w:rPr>
            </w:pPr>
            <w:r w:rsidRPr="00DD5890">
              <w:rPr>
                <w:rFonts w:cs="Times New Roman"/>
                <w:b/>
                <w:color w:val="000000"/>
                <w:szCs w:val="24"/>
              </w:rPr>
              <w:t>Density</w:t>
            </w:r>
          </w:p>
        </w:tc>
        <w:tc>
          <w:tcPr>
            <w:tcW w:w="2563" w:type="dxa"/>
            <w:vAlign w:val="bottom"/>
          </w:tcPr>
          <w:p w14:paraId="2B182C74" w14:textId="77777777" w:rsidR="00F232F2" w:rsidRPr="00DB3D98" w:rsidRDefault="00F232F2" w:rsidP="00981CE5">
            <w:pPr>
              <w:jc w:val="left"/>
              <w:rPr>
                <w:b/>
              </w:rPr>
            </w:pPr>
            <w:r w:rsidRPr="00DD5890">
              <w:rPr>
                <w:rFonts w:cs="Times New Roman"/>
                <w:b/>
                <w:color w:val="000000"/>
                <w:szCs w:val="24"/>
              </w:rPr>
              <w:t>Number</w:t>
            </w:r>
            <w:r>
              <w:rPr>
                <w:rFonts w:cs="Times New Roman"/>
                <w:b/>
                <w:color w:val="000000"/>
                <w:szCs w:val="24"/>
              </w:rPr>
              <w:t xml:space="preserve"> of d</w:t>
            </w:r>
            <w:r w:rsidRPr="00DD5890">
              <w:rPr>
                <w:rFonts w:cs="Times New Roman"/>
                <w:b/>
                <w:color w:val="000000"/>
                <w:szCs w:val="24"/>
              </w:rPr>
              <w:t>irections</w:t>
            </w:r>
          </w:p>
        </w:tc>
      </w:tr>
      <w:tr w:rsidR="00F232F2" w:rsidRPr="00DB3D98" w14:paraId="6EB190D9" w14:textId="77777777" w:rsidTr="00BC7DE8">
        <w:trPr>
          <w:trHeight w:val="340"/>
          <w:jc w:val="center"/>
        </w:trPr>
        <w:tc>
          <w:tcPr>
            <w:tcW w:w="1110" w:type="dxa"/>
            <w:vAlign w:val="bottom"/>
          </w:tcPr>
          <w:p w14:paraId="74B1267D" w14:textId="77777777" w:rsidR="00F232F2" w:rsidRPr="00DB3D98" w:rsidRDefault="00F232F2" w:rsidP="00981CE5">
            <w:pPr>
              <w:jc w:val="left"/>
            </w:pPr>
            <w:r w:rsidRPr="00DD5890">
              <w:rPr>
                <w:rFonts w:cs="Times New Roman"/>
                <w:color w:val="000000"/>
                <w:szCs w:val="24"/>
              </w:rPr>
              <w:t>0</w:t>
            </w:r>
          </w:p>
        </w:tc>
        <w:tc>
          <w:tcPr>
            <w:tcW w:w="2563" w:type="dxa"/>
            <w:vAlign w:val="bottom"/>
          </w:tcPr>
          <w:p w14:paraId="4B1E911B" w14:textId="77777777" w:rsidR="00F232F2" w:rsidRPr="00DB3D98" w:rsidRDefault="00F232F2" w:rsidP="00981CE5">
            <w:pPr>
              <w:jc w:val="left"/>
            </w:pPr>
            <w:r w:rsidRPr="00DD5890">
              <w:rPr>
                <w:rFonts w:cs="Times New Roman"/>
                <w:color w:val="000000"/>
                <w:szCs w:val="24"/>
              </w:rPr>
              <w:t>21</w:t>
            </w:r>
          </w:p>
        </w:tc>
      </w:tr>
      <w:tr w:rsidR="00F232F2" w:rsidRPr="00DB3D98" w14:paraId="11E703B8" w14:textId="77777777" w:rsidTr="00BC7DE8">
        <w:trPr>
          <w:trHeight w:val="340"/>
          <w:jc w:val="center"/>
        </w:trPr>
        <w:tc>
          <w:tcPr>
            <w:tcW w:w="1110" w:type="dxa"/>
            <w:vAlign w:val="bottom"/>
          </w:tcPr>
          <w:p w14:paraId="2D0EBF15" w14:textId="77777777" w:rsidR="00F232F2" w:rsidRPr="00DB3D98" w:rsidRDefault="00F232F2" w:rsidP="00981CE5">
            <w:pPr>
              <w:jc w:val="left"/>
            </w:pPr>
            <w:r w:rsidRPr="00DD5890">
              <w:rPr>
                <w:rFonts w:cs="Times New Roman"/>
                <w:color w:val="000000"/>
                <w:szCs w:val="24"/>
              </w:rPr>
              <w:t>1</w:t>
            </w:r>
          </w:p>
        </w:tc>
        <w:tc>
          <w:tcPr>
            <w:tcW w:w="2563" w:type="dxa"/>
            <w:vAlign w:val="bottom"/>
          </w:tcPr>
          <w:p w14:paraId="29C551FC" w14:textId="77777777" w:rsidR="00F232F2" w:rsidRPr="00DB3D98" w:rsidRDefault="00F232F2" w:rsidP="00981CE5">
            <w:pPr>
              <w:jc w:val="left"/>
            </w:pPr>
            <w:r w:rsidRPr="00DD5890">
              <w:rPr>
                <w:rFonts w:cs="Times New Roman"/>
                <w:color w:val="000000"/>
                <w:szCs w:val="24"/>
              </w:rPr>
              <w:t>34</w:t>
            </w:r>
          </w:p>
        </w:tc>
      </w:tr>
      <w:tr w:rsidR="00F232F2" w:rsidRPr="00DB3D98" w14:paraId="3DDEE57D" w14:textId="77777777" w:rsidTr="00BC7DE8">
        <w:trPr>
          <w:trHeight w:val="340"/>
          <w:jc w:val="center"/>
        </w:trPr>
        <w:tc>
          <w:tcPr>
            <w:tcW w:w="1110" w:type="dxa"/>
            <w:vAlign w:val="bottom"/>
          </w:tcPr>
          <w:p w14:paraId="66867525" w14:textId="77777777" w:rsidR="00F232F2" w:rsidRPr="00DB3D98" w:rsidRDefault="00F232F2" w:rsidP="00981CE5">
            <w:pPr>
              <w:jc w:val="left"/>
            </w:pPr>
            <w:r w:rsidRPr="00DD5890">
              <w:rPr>
                <w:rFonts w:cs="Times New Roman"/>
                <w:color w:val="000000"/>
                <w:szCs w:val="24"/>
              </w:rPr>
              <w:t>2</w:t>
            </w:r>
          </w:p>
        </w:tc>
        <w:tc>
          <w:tcPr>
            <w:tcW w:w="2563" w:type="dxa"/>
            <w:vAlign w:val="bottom"/>
          </w:tcPr>
          <w:p w14:paraId="4F48FB56" w14:textId="77777777" w:rsidR="00F232F2" w:rsidRPr="00DB3D98" w:rsidRDefault="00F232F2" w:rsidP="00981CE5">
            <w:pPr>
              <w:jc w:val="left"/>
            </w:pPr>
            <w:r w:rsidRPr="00DD5890">
              <w:rPr>
                <w:rFonts w:cs="Times New Roman"/>
                <w:color w:val="000000"/>
                <w:szCs w:val="24"/>
              </w:rPr>
              <w:t>55</w:t>
            </w:r>
          </w:p>
        </w:tc>
      </w:tr>
      <w:tr w:rsidR="00F232F2" w:rsidRPr="00DB3D98" w14:paraId="230BAE2B" w14:textId="77777777" w:rsidTr="00BC7DE8">
        <w:trPr>
          <w:trHeight w:val="340"/>
          <w:jc w:val="center"/>
        </w:trPr>
        <w:tc>
          <w:tcPr>
            <w:tcW w:w="1110" w:type="dxa"/>
            <w:vAlign w:val="bottom"/>
          </w:tcPr>
          <w:p w14:paraId="2B16BEAF" w14:textId="77777777" w:rsidR="00F232F2" w:rsidRPr="00DB3D98" w:rsidRDefault="00F232F2" w:rsidP="00981CE5">
            <w:pPr>
              <w:jc w:val="left"/>
              <w:rPr>
                <w:b/>
              </w:rPr>
            </w:pPr>
            <w:r w:rsidRPr="00DD5890">
              <w:rPr>
                <w:rFonts w:cs="Times New Roman"/>
                <w:color w:val="000000"/>
                <w:szCs w:val="24"/>
              </w:rPr>
              <w:t>3</w:t>
            </w:r>
          </w:p>
        </w:tc>
        <w:tc>
          <w:tcPr>
            <w:tcW w:w="2563" w:type="dxa"/>
            <w:vAlign w:val="bottom"/>
          </w:tcPr>
          <w:p w14:paraId="229E03FC" w14:textId="77777777" w:rsidR="00F232F2" w:rsidRPr="00DB3D98" w:rsidRDefault="00F232F2" w:rsidP="00981CE5">
            <w:pPr>
              <w:jc w:val="left"/>
              <w:rPr>
                <w:b/>
              </w:rPr>
            </w:pPr>
            <w:r w:rsidRPr="00DD5890">
              <w:rPr>
                <w:rFonts w:cs="Times New Roman"/>
                <w:color w:val="000000"/>
                <w:szCs w:val="24"/>
              </w:rPr>
              <w:t>89</w:t>
            </w:r>
          </w:p>
        </w:tc>
      </w:tr>
      <w:tr w:rsidR="00F232F2" w:rsidRPr="00DB3D98" w14:paraId="6A3018B4" w14:textId="77777777" w:rsidTr="00BC7DE8">
        <w:trPr>
          <w:trHeight w:val="397"/>
          <w:jc w:val="center"/>
        </w:trPr>
        <w:tc>
          <w:tcPr>
            <w:tcW w:w="1110" w:type="dxa"/>
            <w:vAlign w:val="bottom"/>
          </w:tcPr>
          <w:p w14:paraId="12257660" w14:textId="77777777" w:rsidR="00F232F2" w:rsidRPr="00DB3D98" w:rsidRDefault="00F232F2" w:rsidP="00981CE5">
            <w:pPr>
              <w:jc w:val="left"/>
            </w:pPr>
            <w:r w:rsidRPr="00DD5890">
              <w:rPr>
                <w:rFonts w:cs="Times New Roman"/>
                <w:color w:val="000000"/>
                <w:szCs w:val="24"/>
              </w:rPr>
              <w:t>4</w:t>
            </w:r>
          </w:p>
        </w:tc>
        <w:tc>
          <w:tcPr>
            <w:tcW w:w="2563" w:type="dxa"/>
            <w:vAlign w:val="bottom"/>
          </w:tcPr>
          <w:p w14:paraId="423AF0AE" w14:textId="77777777" w:rsidR="00F232F2" w:rsidRPr="00DB3D98" w:rsidRDefault="00F232F2" w:rsidP="00981CE5">
            <w:pPr>
              <w:jc w:val="left"/>
            </w:pPr>
            <w:r w:rsidRPr="00DD5890">
              <w:rPr>
                <w:rFonts w:cs="Times New Roman"/>
                <w:color w:val="000000"/>
                <w:szCs w:val="24"/>
              </w:rPr>
              <w:t>144</w:t>
            </w:r>
          </w:p>
        </w:tc>
      </w:tr>
      <w:tr w:rsidR="00F232F2" w:rsidRPr="00DB3D98" w14:paraId="4E3CC918" w14:textId="77777777" w:rsidTr="00BC7DE8">
        <w:trPr>
          <w:trHeight w:val="397"/>
          <w:jc w:val="center"/>
        </w:trPr>
        <w:tc>
          <w:tcPr>
            <w:tcW w:w="1110" w:type="dxa"/>
            <w:vAlign w:val="bottom"/>
          </w:tcPr>
          <w:p w14:paraId="523094E5" w14:textId="77777777" w:rsidR="00F232F2" w:rsidRPr="00DB3D98" w:rsidRDefault="00F232F2" w:rsidP="00981CE5">
            <w:pPr>
              <w:jc w:val="left"/>
            </w:pPr>
            <w:r w:rsidRPr="00DD5890">
              <w:rPr>
                <w:rFonts w:cs="Times New Roman"/>
                <w:color w:val="000000"/>
                <w:szCs w:val="24"/>
              </w:rPr>
              <w:t>5</w:t>
            </w:r>
          </w:p>
        </w:tc>
        <w:tc>
          <w:tcPr>
            <w:tcW w:w="2563" w:type="dxa"/>
            <w:vAlign w:val="bottom"/>
          </w:tcPr>
          <w:p w14:paraId="2CCCF76D" w14:textId="77777777" w:rsidR="00F232F2" w:rsidRPr="00DB3D98" w:rsidRDefault="00F232F2" w:rsidP="00981CE5">
            <w:pPr>
              <w:jc w:val="left"/>
            </w:pPr>
            <w:r w:rsidRPr="00DD5890">
              <w:rPr>
                <w:rFonts w:cs="Times New Roman"/>
                <w:color w:val="000000"/>
                <w:szCs w:val="24"/>
              </w:rPr>
              <w:t>233</w:t>
            </w:r>
          </w:p>
        </w:tc>
      </w:tr>
      <w:tr w:rsidR="00F232F2" w:rsidRPr="00DB3D98" w14:paraId="332DE58F" w14:textId="77777777" w:rsidTr="00BC7DE8">
        <w:trPr>
          <w:trHeight w:val="397"/>
          <w:jc w:val="center"/>
        </w:trPr>
        <w:tc>
          <w:tcPr>
            <w:tcW w:w="1110" w:type="dxa"/>
            <w:vAlign w:val="bottom"/>
          </w:tcPr>
          <w:p w14:paraId="0CFB75EA" w14:textId="77777777" w:rsidR="00F232F2" w:rsidRPr="00DB3D98" w:rsidRDefault="00F232F2" w:rsidP="00981CE5">
            <w:pPr>
              <w:jc w:val="left"/>
            </w:pPr>
            <w:r w:rsidRPr="00DD5890">
              <w:rPr>
                <w:rFonts w:cs="Times New Roman"/>
                <w:color w:val="000000"/>
                <w:szCs w:val="24"/>
              </w:rPr>
              <w:t>6</w:t>
            </w:r>
          </w:p>
        </w:tc>
        <w:tc>
          <w:tcPr>
            <w:tcW w:w="2563" w:type="dxa"/>
            <w:vAlign w:val="bottom"/>
          </w:tcPr>
          <w:p w14:paraId="25E73D78" w14:textId="77777777" w:rsidR="00F232F2" w:rsidRPr="00DB3D98" w:rsidRDefault="00F232F2" w:rsidP="00981CE5">
            <w:pPr>
              <w:jc w:val="left"/>
            </w:pPr>
            <w:r w:rsidRPr="00DD5890">
              <w:rPr>
                <w:rFonts w:cs="Times New Roman"/>
                <w:color w:val="000000"/>
                <w:szCs w:val="24"/>
              </w:rPr>
              <w:t>377</w:t>
            </w:r>
          </w:p>
        </w:tc>
      </w:tr>
      <w:tr w:rsidR="00F232F2" w:rsidRPr="00DB3D98" w14:paraId="675EE873" w14:textId="77777777" w:rsidTr="00BC7DE8">
        <w:trPr>
          <w:trHeight w:val="397"/>
          <w:jc w:val="center"/>
        </w:trPr>
        <w:tc>
          <w:tcPr>
            <w:tcW w:w="1110" w:type="dxa"/>
            <w:vAlign w:val="bottom"/>
          </w:tcPr>
          <w:p w14:paraId="02CC64F0" w14:textId="77777777" w:rsidR="00F232F2" w:rsidRPr="00DB3D98" w:rsidRDefault="00F232F2" w:rsidP="00981CE5">
            <w:pPr>
              <w:jc w:val="left"/>
            </w:pPr>
            <w:r w:rsidRPr="00DD5890">
              <w:rPr>
                <w:rFonts w:cs="Times New Roman"/>
                <w:color w:val="000000"/>
                <w:szCs w:val="24"/>
              </w:rPr>
              <w:t>7</w:t>
            </w:r>
          </w:p>
        </w:tc>
        <w:tc>
          <w:tcPr>
            <w:tcW w:w="2563" w:type="dxa"/>
            <w:vAlign w:val="bottom"/>
          </w:tcPr>
          <w:p w14:paraId="7648F153" w14:textId="77777777" w:rsidR="00F232F2" w:rsidRPr="00EB7793" w:rsidRDefault="00F232F2" w:rsidP="00981CE5">
            <w:pPr>
              <w:jc w:val="left"/>
              <w:rPr>
                <w:rFonts w:eastAsiaTheme="minorEastAsia"/>
              </w:rPr>
            </w:pPr>
            <w:r w:rsidRPr="00DD5890">
              <w:rPr>
                <w:rFonts w:cs="Times New Roman"/>
                <w:color w:val="000000"/>
                <w:szCs w:val="24"/>
              </w:rPr>
              <w:t>610</w:t>
            </w:r>
          </w:p>
        </w:tc>
      </w:tr>
      <w:tr w:rsidR="00F232F2" w:rsidRPr="00DB3D98" w14:paraId="3B844421" w14:textId="77777777" w:rsidTr="00BC7DE8">
        <w:trPr>
          <w:trHeight w:val="397"/>
          <w:jc w:val="center"/>
        </w:trPr>
        <w:tc>
          <w:tcPr>
            <w:tcW w:w="1110" w:type="dxa"/>
            <w:vAlign w:val="bottom"/>
          </w:tcPr>
          <w:p w14:paraId="3F0878E4" w14:textId="77777777" w:rsidR="00F232F2" w:rsidRPr="00DB3D98" w:rsidRDefault="00F232F2" w:rsidP="00981CE5">
            <w:pPr>
              <w:jc w:val="left"/>
            </w:pPr>
            <w:r w:rsidRPr="00DD5890">
              <w:rPr>
                <w:rFonts w:cs="Times New Roman"/>
                <w:color w:val="000000"/>
                <w:szCs w:val="24"/>
              </w:rPr>
              <w:t>8</w:t>
            </w:r>
          </w:p>
        </w:tc>
        <w:tc>
          <w:tcPr>
            <w:tcW w:w="2563" w:type="dxa"/>
            <w:vAlign w:val="bottom"/>
          </w:tcPr>
          <w:p w14:paraId="431298FF" w14:textId="77777777" w:rsidR="00F232F2" w:rsidRPr="00DB3D98" w:rsidRDefault="00F232F2" w:rsidP="00981CE5">
            <w:pPr>
              <w:jc w:val="left"/>
            </w:pPr>
            <w:r w:rsidRPr="00DD5890">
              <w:rPr>
                <w:rFonts w:cs="Times New Roman"/>
                <w:color w:val="000000"/>
                <w:szCs w:val="24"/>
              </w:rPr>
              <w:t>987</w:t>
            </w:r>
          </w:p>
        </w:tc>
      </w:tr>
      <w:tr w:rsidR="00F232F2" w:rsidRPr="00DB3D98" w14:paraId="0DA5CA3A" w14:textId="77777777" w:rsidTr="00BC7DE8">
        <w:trPr>
          <w:trHeight w:val="397"/>
          <w:jc w:val="center"/>
        </w:trPr>
        <w:tc>
          <w:tcPr>
            <w:tcW w:w="1110" w:type="dxa"/>
            <w:vAlign w:val="bottom"/>
          </w:tcPr>
          <w:p w14:paraId="5C36897E" w14:textId="77777777" w:rsidR="00F232F2" w:rsidRPr="00DB3D98" w:rsidRDefault="00F232F2" w:rsidP="00981CE5">
            <w:pPr>
              <w:jc w:val="left"/>
            </w:pPr>
            <w:r w:rsidRPr="00DD5890">
              <w:rPr>
                <w:rFonts w:cs="Times New Roman"/>
                <w:color w:val="000000"/>
                <w:szCs w:val="24"/>
              </w:rPr>
              <w:t>9</w:t>
            </w:r>
          </w:p>
        </w:tc>
        <w:tc>
          <w:tcPr>
            <w:tcW w:w="2563" w:type="dxa"/>
            <w:vAlign w:val="bottom"/>
          </w:tcPr>
          <w:p w14:paraId="33458901" w14:textId="77777777" w:rsidR="00F232F2" w:rsidRPr="00DB3D98" w:rsidRDefault="00F232F2" w:rsidP="00981CE5">
            <w:pPr>
              <w:jc w:val="left"/>
            </w:pPr>
            <w:r w:rsidRPr="00DD5890">
              <w:rPr>
                <w:rFonts w:cs="Times New Roman"/>
                <w:color w:val="000000"/>
                <w:szCs w:val="24"/>
              </w:rPr>
              <w:t>1597</w:t>
            </w:r>
          </w:p>
        </w:tc>
      </w:tr>
      <w:tr w:rsidR="00F232F2" w:rsidRPr="00DB3D98" w14:paraId="734FB333" w14:textId="77777777" w:rsidTr="00BC7DE8">
        <w:trPr>
          <w:trHeight w:val="397"/>
          <w:jc w:val="center"/>
        </w:trPr>
        <w:tc>
          <w:tcPr>
            <w:tcW w:w="1110" w:type="dxa"/>
            <w:vAlign w:val="bottom"/>
          </w:tcPr>
          <w:p w14:paraId="2C4BC4E6" w14:textId="77777777" w:rsidR="00F232F2" w:rsidRPr="00DB3D98" w:rsidRDefault="00F232F2" w:rsidP="00981CE5">
            <w:pPr>
              <w:jc w:val="left"/>
            </w:pPr>
            <w:r w:rsidRPr="00DD5890">
              <w:rPr>
                <w:rFonts w:cs="Times New Roman"/>
                <w:color w:val="000000"/>
                <w:szCs w:val="24"/>
              </w:rPr>
              <w:t>10</w:t>
            </w:r>
          </w:p>
        </w:tc>
        <w:tc>
          <w:tcPr>
            <w:tcW w:w="2563" w:type="dxa"/>
            <w:vAlign w:val="bottom"/>
          </w:tcPr>
          <w:p w14:paraId="71CD7D60" w14:textId="77777777" w:rsidR="00F232F2" w:rsidRPr="00DB3D98" w:rsidRDefault="00F232F2" w:rsidP="00981CE5">
            <w:pPr>
              <w:jc w:val="left"/>
            </w:pPr>
            <w:r w:rsidRPr="00DD5890">
              <w:rPr>
                <w:rFonts w:cs="Times New Roman"/>
                <w:color w:val="000000"/>
                <w:szCs w:val="24"/>
              </w:rPr>
              <w:t>2584</w:t>
            </w:r>
          </w:p>
        </w:tc>
      </w:tr>
      <w:tr w:rsidR="00F232F2" w:rsidRPr="00DB3D98" w14:paraId="39F91E6F" w14:textId="77777777" w:rsidTr="00BC7DE8">
        <w:trPr>
          <w:trHeight w:val="397"/>
          <w:jc w:val="center"/>
        </w:trPr>
        <w:tc>
          <w:tcPr>
            <w:tcW w:w="1110" w:type="dxa"/>
            <w:vAlign w:val="bottom"/>
          </w:tcPr>
          <w:p w14:paraId="539A97F3" w14:textId="77777777" w:rsidR="00F232F2" w:rsidRPr="00DB3D98" w:rsidRDefault="00F232F2" w:rsidP="00981CE5">
            <w:pPr>
              <w:jc w:val="left"/>
            </w:pPr>
            <w:r w:rsidRPr="00DD5890">
              <w:rPr>
                <w:rFonts w:cs="Times New Roman"/>
                <w:color w:val="000000"/>
                <w:szCs w:val="24"/>
              </w:rPr>
              <w:t>11</w:t>
            </w:r>
          </w:p>
        </w:tc>
        <w:tc>
          <w:tcPr>
            <w:tcW w:w="2563" w:type="dxa"/>
            <w:vAlign w:val="bottom"/>
          </w:tcPr>
          <w:p w14:paraId="6CC418D2" w14:textId="77777777" w:rsidR="00F232F2" w:rsidRPr="00DB3D98" w:rsidRDefault="00F232F2" w:rsidP="00981CE5">
            <w:pPr>
              <w:jc w:val="left"/>
            </w:pPr>
            <w:r w:rsidRPr="00DD5890">
              <w:rPr>
                <w:rFonts w:cs="Times New Roman"/>
                <w:color w:val="000000"/>
                <w:szCs w:val="24"/>
              </w:rPr>
              <w:t>4181</w:t>
            </w:r>
          </w:p>
        </w:tc>
      </w:tr>
      <w:tr w:rsidR="00F232F2" w:rsidRPr="00DB3D98" w14:paraId="477CF0FA" w14:textId="77777777" w:rsidTr="00BC7DE8">
        <w:trPr>
          <w:trHeight w:val="397"/>
          <w:jc w:val="center"/>
        </w:trPr>
        <w:tc>
          <w:tcPr>
            <w:tcW w:w="1110" w:type="dxa"/>
            <w:vAlign w:val="bottom"/>
          </w:tcPr>
          <w:p w14:paraId="251162C4" w14:textId="77777777" w:rsidR="00F232F2" w:rsidRPr="00DD5890" w:rsidRDefault="00F232F2" w:rsidP="00981CE5">
            <w:pPr>
              <w:jc w:val="left"/>
              <w:rPr>
                <w:rFonts w:cs="Times New Roman"/>
                <w:color w:val="000000"/>
                <w:szCs w:val="24"/>
              </w:rPr>
            </w:pPr>
            <w:r w:rsidRPr="00DD5890">
              <w:rPr>
                <w:rFonts w:cs="Times New Roman"/>
                <w:color w:val="000000"/>
                <w:szCs w:val="24"/>
              </w:rPr>
              <w:t>12</w:t>
            </w:r>
          </w:p>
        </w:tc>
        <w:tc>
          <w:tcPr>
            <w:tcW w:w="2563" w:type="dxa"/>
            <w:vAlign w:val="bottom"/>
          </w:tcPr>
          <w:p w14:paraId="2706B5E6" w14:textId="77777777" w:rsidR="00F232F2" w:rsidRPr="00DD5890" w:rsidRDefault="00F232F2" w:rsidP="00981CE5">
            <w:pPr>
              <w:jc w:val="left"/>
              <w:rPr>
                <w:rFonts w:cs="Times New Roman"/>
                <w:color w:val="000000"/>
                <w:szCs w:val="24"/>
              </w:rPr>
            </w:pPr>
            <w:r w:rsidRPr="00DD5890">
              <w:rPr>
                <w:rFonts w:cs="Times New Roman"/>
                <w:color w:val="000000"/>
                <w:szCs w:val="24"/>
              </w:rPr>
              <w:t>6765</w:t>
            </w:r>
          </w:p>
        </w:tc>
      </w:tr>
      <w:tr w:rsidR="00F232F2" w:rsidRPr="00DB3D98" w14:paraId="1848C524" w14:textId="77777777" w:rsidTr="00BC7DE8">
        <w:trPr>
          <w:trHeight w:val="397"/>
          <w:jc w:val="center"/>
        </w:trPr>
        <w:tc>
          <w:tcPr>
            <w:tcW w:w="1110" w:type="dxa"/>
            <w:vAlign w:val="bottom"/>
          </w:tcPr>
          <w:p w14:paraId="1F35780B" w14:textId="77777777" w:rsidR="00F232F2" w:rsidRPr="00DD5890" w:rsidRDefault="00F232F2" w:rsidP="00981CE5">
            <w:pPr>
              <w:jc w:val="left"/>
              <w:rPr>
                <w:rFonts w:cs="Times New Roman"/>
                <w:color w:val="000000"/>
                <w:szCs w:val="24"/>
              </w:rPr>
            </w:pPr>
            <w:r w:rsidRPr="00DD5890">
              <w:rPr>
                <w:rFonts w:cs="Times New Roman"/>
                <w:color w:val="000000"/>
                <w:szCs w:val="24"/>
              </w:rPr>
              <w:t>13</w:t>
            </w:r>
          </w:p>
        </w:tc>
        <w:tc>
          <w:tcPr>
            <w:tcW w:w="2563" w:type="dxa"/>
            <w:vAlign w:val="bottom"/>
          </w:tcPr>
          <w:p w14:paraId="614B13F0" w14:textId="77777777" w:rsidR="00F232F2" w:rsidRPr="00DD5890" w:rsidRDefault="00F232F2" w:rsidP="00981CE5">
            <w:pPr>
              <w:jc w:val="left"/>
              <w:rPr>
                <w:rFonts w:cs="Times New Roman"/>
                <w:color w:val="000000"/>
                <w:szCs w:val="24"/>
              </w:rPr>
            </w:pPr>
            <w:r w:rsidRPr="00DD5890">
              <w:rPr>
                <w:rFonts w:cs="Times New Roman"/>
                <w:color w:val="000000"/>
                <w:szCs w:val="24"/>
              </w:rPr>
              <w:t>10946</w:t>
            </w:r>
          </w:p>
        </w:tc>
      </w:tr>
      <w:tr w:rsidR="00F232F2" w:rsidRPr="00DB3D98" w14:paraId="624E1F38" w14:textId="77777777" w:rsidTr="00BC7DE8">
        <w:trPr>
          <w:trHeight w:val="397"/>
          <w:jc w:val="center"/>
        </w:trPr>
        <w:tc>
          <w:tcPr>
            <w:tcW w:w="1110" w:type="dxa"/>
            <w:vAlign w:val="bottom"/>
          </w:tcPr>
          <w:p w14:paraId="3ABFBF95" w14:textId="77777777" w:rsidR="00F232F2" w:rsidRPr="00DD5890" w:rsidRDefault="00F232F2" w:rsidP="00981CE5">
            <w:pPr>
              <w:jc w:val="left"/>
              <w:rPr>
                <w:rFonts w:cs="Times New Roman"/>
                <w:color w:val="000000"/>
                <w:szCs w:val="24"/>
              </w:rPr>
            </w:pPr>
            <w:r w:rsidRPr="00DD5890">
              <w:rPr>
                <w:rFonts w:cs="Times New Roman"/>
                <w:color w:val="000000"/>
                <w:szCs w:val="24"/>
              </w:rPr>
              <w:t>14</w:t>
            </w:r>
          </w:p>
        </w:tc>
        <w:tc>
          <w:tcPr>
            <w:tcW w:w="2563" w:type="dxa"/>
            <w:vAlign w:val="bottom"/>
          </w:tcPr>
          <w:p w14:paraId="6925983C" w14:textId="77777777" w:rsidR="00F232F2" w:rsidRPr="00DD5890" w:rsidRDefault="00F232F2" w:rsidP="00981CE5">
            <w:pPr>
              <w:jc w:val="left"/>
              <w:rPr>
                <w:rFonts w:cs="Times New Roman"/>
                <w:color w:val="000000"/>
                <w:szCs w:val="24"/>
              </w:rPr>
            </w:pPr>
            <w:r w:rsidRPr="00DD5890">
              <w:rPr>
                <w:rFonts w:cs="Times New Roman"/>
                <w:color w:val="000000"/>
                <w:szCs w:val="24"/>
              </w:rPr>
              <w:t>17711</w:t>
            </w:r>
          </w:p>
        </w:tc>
      </w:tr>
      <w:tr w:rsidR="00F232F2" w:rsidRPr="00DB3D98" w14:paraId="73450BF5" w14:textId="77777777" w:rsidTr="00BC7DE8">
        <w:trPr>
          <w:trHeight w:val="397"/>
          <w:jc w:val="center"/>
        </w:trPr>
        <w:tc>
          <w:tcPr>
            <w:tcW w:w="1110" w:type="dxa"/>
            <w:vAlign w:val="bottom"/>
          </w:tcPr>
          <w:p w14:paraId="6A1096FC" w14:textId="77777777" w:rsidR="00F232F2" w:rsidRPr="00DD5890" w:rsidRDefault="00F232F2" w:rsidP="00981CE5">
            <w:pPr>
              <w:jc w:val="left"/>
              <w:rPr>
                <w:rFonts w:cs="Times New Roman"/>
                <w:color w:val="000000"/>
                <w:szCs w:val="24"/>
              </w:rPr>
            </w:pPr>
            <w:r w:rsidRPr="00DD5890">
              <w:rPr>
                <w:rFonts w:cs="Times New Roman"/>
                <w:color w:val="000000"/>
                <w:szCs w:val="24"/>
              </w:rPr>
              <w:t>15</w:t>
            </w:r>
          </w:p>
        </w:tc>
        <w:tc>
          <w:tcPr>
            <w:tcW w:w="2563" w:type="dxa"/>
            <w:vAlign w:val="bottom"/>
          </w:tcPr>
          <w:p w14:paraId="197D341D" w14:textId="77777777" w:rsidR="00F232F2" w:rsidRPr="00DD5890" w:rsidRDefault="00F232F2" w:rsidP="00981CE5">
            <w:pPr>
              <w:jc w:val="left"/>
              <w:rPr>
                <w:rFonts w:cs="Times New Roman"/>
                <w:color w:val="000000"/>
                <w:szCs w:val="24"/>
              </w:rPr>
            </w:pPr>
            <w:r w:rsidRPr="00DD5890">
              <w:rPr>
                <w:rFonts w:cs="Times New Roman"/>
                <w:color w:val="000000"/>
                <w:szCs w:val="24"/>
              </w:rPr>
              <w:t>28657</w:t>
            </w:r>
          </w:p>
        </w:tc>
      </w:tr>
    </w:tbl>
    <w:p w14:paraId="3AE8A486" w14:textId="4D961F4D" w:rsidR="00F232F2" w:rsidRDefault="00F232F2" w:rsidP="00F232F2"/>
    <w:p w14:paraId="133BA8FD" w14:textId="77777777" w:rsidR="003B43AB" w:rsidRDefault="003B43AB" w:rsidP="00F232F2"/>
    <w:p w14:paraId="624A9442" w14:textId="59E1EACF" w:rsidR="00F232F2" w:rsidRDefault="00F232F2" w:rsidP="00F232F2">
      <w:pPr>
        <w:rPr>
          <w:rFonts w:cs="Times New Roman"/>
          <w:szCs w:val="24"/>
        </w:rPr>
      </w:pPr>
      <w:r w:rsidRPr="00DD5890">
        <w:rPr>
          <w:rFonts w:cs="Times New Roman"/>
          <w:i/>
          <w:szCs w:val="24"/>
        </w:rPr>
        <w:t>AtomAccess</w:t>
      </w:r>
      <w:r w:rsidRPr="00DD5890">
        <w:rPr>
          <w:rFonts w:cs="Times New Roman"/>
          <w:szCs w:val="24"/>
        </w:rPr>
        <w:t xml:space="preserve"> uses the physics convention for spherical polar coordinates (radial distance </w:t>
      </w:r>
      <w:r w:rsidRPr="00DD5890">
        <w:rPr>
          <w:rFonts w:cs="Times New Roman"/>
          <w:i/>
          <w:szCs w:val="24"/>
        </w:rPr>
        <w:t>r</w:t>
      </w:r>
      <w:r w:rsidRPr="00DD5890">
        <w:rPr>
          <w:rFonts w:cs="Times New Roman"/>
          <w:szCs w:val="24"/>
        </w:rPr>
        <w:t xml:space="preserve">, polar angle θ, azimuthal angle φ), where (θ, φ) defines the direction of the ray and </w:t>
      </w:r>
      <w:r w:rsidRPr="00DD5890">
        <w:rPr>
          <w:rFonts w:cs="Times New Roman"/>
          <w:i/>
          <w:szCs w:val="24"/>
        </w:rPr>
        <w:t>r</w:t>
      </w:r>
      <w:r w:rsidRPr="00DD5890">
        <w:rPr>
          <w:rFonts w:cs="Times New Roman"/>
          <w:szCs w:val="24"/>
        </w:rPr>
        <w:t xml:space="preserve"> defines the radial coordinate.</w:t>
      </w:r>
      <w:r>
        <w:rPr>
          <w:rFonts w:cs="Times New Roman"/>
          <w:szCs w:val="24"/>
        </w:rPr>
        <w:t xml:space="preserve"> </w:t>
      </w:r>
      <w:r w:rsidRPr="00DD5890">
        <w:rPr>
          <w:rFonts w:cs="Times New Roman"/>
          <w:szCs w:val="24"/>
        </w:rPr>
        <w:t xml:space="preserve">Rays are traced out from the central atom in increments of the radial step until a threshold distance. The threshold distance is defined as 20 Å or the maximum distance between the central atom and any peripheral atom plus the largest radius of the peripheral atoms, whichever is </w:t>
      </w:r>
      <w:r w:rsidR="00BC7DE8">
        <w:rPr>
          <w:rFonts w:cs="Times New Roman"/>
          <w:szCs w:val="24"/>
        </w:rPr>
        <w:t>lower</w:t>
      </w:r>
      <w:r w:rsidRPr="00DD5890">
        <w:rPr>
          <w:rFonts w:cs="Times New Roman"/>
          <w:szCs w:val="24"/>
        </w:rPr>
        <w:t xml:space="preserve">. At each value of </w:t>
      </w:r>
      <w:r w:rsidRPr="00DD5890">
        <w:rPr>
          <w:rFonts w:cs="Times New Roman"/>
          <w:i/>
          <w:szCs w:val="24"/>
        </w:rPr>
        <w:t>r</w:t>
      </w:r>
      <w:r w:rsidRPr="00DD5890">
        <w:rPr>
          <w:rFonts w:cs="Times New Roman"/>
          <w:szCs w:val="24"/>
        </w:rPr>
        <w:t xml:space="preserve"> the (</w:t>
      </w:r>
      <w:r w:rsidRPr="00DD5890">
        <w:rPr>
          <w:rFonts w:cs="Times New Roman"/>
          <w:i/>
          <w:szCs w:val="24"/>
        </w:rPr>
        <w:t>r</w:t>
      </w:r>
      <w:r w:rsidRPr="00DD5890">
        <w:rPr>
          <w:rFonts w:cs="Times New Roman"/>
          <w:szCs w:val="24"/>
        </w:rPr>
        <w:t>,</w:t>
      </w:r>
      <w:r w:rsidR="00713CB6">
        <w:rPr>
          <w:rFonts w:cs="Times New Roman"/>
          <w:szCs w:val="24"/>
        </w:rPr>
        <w:t xml:space="preserve"> </w:t>
      </w:r>
      <w:r w:rsidRPr="00DD5890">
        <w:rPr>
          <w:rFonts w:cs="Times New Roman"/>
          <w:szCs w:val="24"/>
        </w:rPr>
        <w:t>θ,</w:t>
      </w:r>
      <w:r w:rsidR="00713CB6">
        <w:rPr>
          <w:rFonts w:cs="Times New Roman"/>
          <w:szCs w:val="24"/>
        </w:rPr>
        <w:t xml:space="preserve"> </w:t>
      </w:r>
      <w:r w:rsidRPr="00DD5890">
        <w:rPr>
          <w:rFonts w:cs="Times New Roman"/>
          <w:szCs w:val="24"/>
        </w:rPr>
        <w:t>φ) point is checked as to whether it lies within the radius of any peripheral atom and if it does, this (θ,</w:t>
      </w:r>
      <w:r w:rsidR="00713CB6">
        <w:rPr>
          <w:rFonts w:cs="Times New Roman"/>
          <w:szCs w:val="24"/>
        </w:rPr>
        <w:t xml:space="preserve"> </w:t>
      </w:r>
      <w:r w:rsidRPr="00DD5890">
        <w:rPr>
          <w:rFonts w:cs="Times New Roman"/>
          <w:szCs w:val="24"/>
        </w:rPr>
        <w:t>φ) direction is considered to be blocked.</w:t>
      </w:r>
      <w:r w:rsidRPr="00DD5890">
        <w:rPr>
          <w:rFonts w:cs="Times New Roman"/>
          <w:szCs w:val="24"/>
          <w:vertAlign w:val="superscript"/>
        </w:rPr>
        <w:t xml:space="preserve"> </w:t>
      </w:r>
      <w:r w:rsidRPr="00DD5890">
        <w:rPr>
          <w:rFonts w:cs="Times New Roman"/>
          <w:szCs w:val="24"/>
        </w:rPr>
        <w:t xml:space="preserve">Visible rays are defined as being unblocked for all values of </w:t>
      </w:r>
      <w:r w:rsidRPr="00DD5890">
        <w:rPr>
          <w:rFonts w:cs="Times New Roman"/>
          <w:i/>
          <w:szCs w:val="24"/>
        </w:rPr>
        <w:t>r</w:t>
      </w:r>
      <w:r w:rsidRPr="00DD5890">
        <w:rPr>
          <w:rFonts w:cs="Times New Roman"/>
          <w:szCs w:val="24"/>
        </w:rPr>
        <w:t xml:space="preserve"> up to and in</w:t>
      </w:r>
      <w:r>
        <w:rPr>
          <w:rFonts w:cs="Times New Roman"/>
          <w:szCs w:val="24"/>
        </w:rPr>
        <w:t xml:space="preserve">cluding the threshold distance. </w:t>
      </w:r>
    </w:p>
    <w:p w14:paraId="412C7EA8" w14:textId="77777777" w:rsidR="00F232F2" w:rsidRDefault="00F232F2" w:rsidP="00F232F2">
      <w:pPr>
        <w:rPr>
          <w:rFonts w:cs="Times New Roman"/>
          <w:szCs w:val="24"/>
        </w:rPr>
      </w:pPr>
    </w:p>
    <w:p w14:paraId="17F7A822" w14:textId="15F0F39B" w:rsidR="00F232F2" w:rsidRDefault="00F232F2" w:rsidP="00F232F2">
      <w:pPr>
        <w:rPr>
          <w:rFonts w:cs="Times New Roman"/>
          <w:szCs w:val="24"/>
        </w:rPr>
      </w:pPr>
      <w:r>
        <w:rPr>
          <w:rFonts w:cs="Times New Roman"/>
          <w:szCs w:val="24"/>
        </w:rPr>
        <w:t>The ZCW integration density and</w:t>
      </w:r>
      <w:r w:rsidRPr="00DD5890">
        <w:rPr>
          <w:rFonts w:cs="Times New Roman"/>
          <w:szCs w:val="24"/>
        </w:rPr>
        <w:t xml:space="preserve"> radial step can be specified with the “</w:t>
      </w:r>
      <w:r>
        <w:rPr>
          <w:rFonts w:cs="Times New Roman"/>
          <w:szCs w:val="24"/>
        </w:rPr>
        <w:t>--</w:t>
      </w:r>
      <w:r w:rsidRPr="00DD5890">
        <w:rPr>
          <w:rFonts w:cs="Times New Roman"/>
          <w:szCs w:val="24"/>
        </w:rPr>
        <w:t>density</w:t>
      </w:r>
      <w:r>
        <w:rPr>
          <w:rFonts w:cs="Times New Roman"/>
          <w:szCs w:val="24"/>
        </w:rPr>
        <w:t>” and</w:t>
      </w:r>
      <w:r w:rsidRPr="00DD5890">
        <w:rPr>
          <w:rFonts w:cs="Times New Roman"/>
          <w:szCs w:val="24"/>
        </w:rPr>
        <w:t xml:space="preserve"> “</w:t>
      </w:r>
      <w:r>
        <w:rPr>
          <w:rFonts w:cs="Times New Roman"/>
          <w:szCs w:val="24"/>
        </w:rPr>
        <w:t>--</w:t>
      </w:r>
      <w:proofErr w:type="spellStart"/>
      <w:r w:rsidRPr="00DD5890">
        <w:rPr>
          <w:rFonts w:cs="Times New Roman"/>
          <w:szCs w:val="24"/>
        </w:rPr>
        <w:t>radialstep</w:t>
      </w:r>
      <w:proofErr w:type="spellEnd"/>
      <w:r w:rsidRPr="00DD5890">
        <w:rPr>
          <w:rFonts w:cs="Times New Roman"/>
          <w:szCs w:val="24"/>
        </w:rPr>
        <w:t xml:space="preserve">” </w:t>
      </w:r>
      <w:r>
        <w:rPr>
          <w:rFonts w:cs="Times New Roman"/>
          <w:szCs w:val="24"/>
        </w:rPr>
        <w:t>options (</w:t>
      </w:r>
      <w:r w:rsidRPr="00DD5890">
        <w:rPr>
          <w:rFonts w:cs="Times New Roman"/>
          <w:szCs w:val="24"/>
        </w:rPr>
        <w:t xml:space="preserve">Table </w:t>
      </w:r>
      <w:r>
        <w:rPr>
          <w:rFonts w:cs="Times New Roman"/>
          <w:szCs w:val="24"/>
        </w:rPr>
        <w:t>1)</w:t>
      </w:r>
      <w:r w:rsidRPr="00DD5890">
        <w:rPr>
          <w:rFonts w:cs="Times New Roman"/>
          <w:szCs w:val="24"/>
        </w:rPr>
        <w:t>. These should be kept constant when comparing different structures. A default density value of 7 and radial step of 0.05 Å have been chosen to give rapid results, these can be increased and decreased</w:t>
      </w:r>
      <w:r w:rsidR="00BC7DE8">
        <w:rPr>
          <w:rFonts w:cs="Times New Roman"/>
          <w:szCs w:val="24"/>
        </w:rPr>
        <w:t>,</w:t>
      </w:r>
      <w:r w:rsidRPr="00DD5890">
        <w:rPr>
          <w:rFonts w:cs="Times New Roman"/>
          <w:szCs w:val="24"/>
        </w:rPr>
        <w:t xml:space="preserve"> respectively</w:t>
      </w:r>
      <w:r w:rsidR="00BC7DE8">
        <w:rPr>
          <w:rFonts w:cs="Times New Roman"/>
          <w:szCs w:val="24"/>
        </w:rPr>
        <w:t>,</w:t>
      </w:r>
      <w:r w:rsidRPr="00DD5890">
        <w:rPr>
          <w:rFonts w:cs="Times New Roman"/>
          <w:szCs w:val="24"/>
        </w:rPr>
        <w:t xml:space="preserve"> to converge on more </w:t>
      </w:r>
      <w:r w:rsidR="003B43AB">
        <w:rPr>
          <w:rFonts w:cs="Times New Roman"/>
          <w:szCs w:val="24"/>
        </w:rPr>
        <w:t>accurate</w:t>
      </w:r>
      <w:r w:rsidRPr="00DD5890">
        <w:rPr>
          <w:rFonts w:cs="Times New Roman"/>
          <w:szCs w:val="24"/>
        </w:rPr>
        <w:t xml:space="preserve"> results. Preliminary tests indicate integration densities &gt; 11 and radial steps &lt; 0.01 </w:t>
      </w:r>
      <w:r w:rsidR="003B43AB">
        <w:rPr>
          <w:rFonts w:cs="Times New Roman"/>
          <w:szCs w:val="24"/>
        </w:rPr>
        <w:t>tend not to</w:t>
      </w:r>
      <w:r w:rsidRPr="00DD5890">
        <w:rPr>
          <w:rFonts w:cs="Times New Roman"/>
          <w:szCs w:val="24"/>
        </w:rPr>
        <w:t xml:space="preserve"> improve accuracy. </w:t>
      </w:r>
    </w:p>
    <w:p w14:paraId="36B4FF2A" w14:textId="52E4442A" w:rsidR="00F232F2" w:rsidRDefault="00F232F2" w:rsidP="00F232F2">
      <w:pPr>
        <w:rPr>
          <w:rFonts w:cs="Times New Roman"/>
          <w:szCs w:val="24"/>
        </w:rPr>
      </w:pPr>
    </w:p>
    <w:p w14:paraId="62D6F796" w14:textId="40ABAB19" w:rsidR="00F232F2" w:rsidRDefault="00F232F2" w:rsidP="00F232F2">
      <w:pPr>
        <w:rPr>
          <w:rFonts w:cs="Times New Roman"/>
          <w:szCs w:val="24"/>
        </w:rPr>
      </w:pPr>
      <w:r w:rsidRPr="00DD5890">
        <w:rPr>
          <w:rFonts w:cs="Times New Roman"/>
          <w:szCs w:val="24"/>
        </w:rPr>
        <w:lastRenderedPageBreak/>
        <w:t xml:space="preserve">The radii of peripheral atoms are </w:t>
      </w:r>
      <w:r>
        <w:rPr>
          <w:rFonts w:cs="Times New Roman"/>
          <w:szCs w:val="24"/>
        </w:rPr>
        <w:t>defined</w:t>
      </w:r>
      <w:r w:rsidRPr="00DD5890">
        <w:rPr>
          <w:rFonts w:cs="Times New Roman"/>
          <w:szCs w:val="24"/>
        </w:rPr>
        <w:t xml:space="preserve"> by their </w:t>
      </w:r>
      <w:r>
        <w:rPr>
          <w:rFonts w:cs="Times New Roman"/>
          <w:szCs w:val="24"/>
        </w:rPr>
        <w:t xml:space="preserve">atomic </w:t>
      </w:r>
      <w:r w:rsidRPr="00DD5890">
        <w:rPr>
          <w:rFonts w:cs="Times New Roman"/>
          <w:szCs w:val="24"/>
        </w:rPr>
        <w:t>covalent radii (suitable for organic molecules) or non-bonded radii (suitable for inorganic complexes), as taken from the RSC Periodic Table database of covalent (H-</w:t>
      </w:r>
      <w:proofErr w:type="spellStart"/>
      <w:r w:rsidRPr="00DD5890">
        <w:rPr>
          <w:rFonts w:cs="Times New Roman"/>
          <w:szCs w:val="24"/>
        </w:rPr>
        <w:t>Og</w:t>
      </w:r>
      <w:proofErr w:type="spellEnd"/>
      <w:r w:rsidRPr="00DD5890">
        <w:rPr>
          <w:rFonts w:cs="Times New Roman"/>
          <w:szCs w:val="24"/>
        </w:rPr>
        <w:t>) and non-bonded (H-</w:t>
      </w:r>
      <w:proofErr w:type="spellStart"/>
      <w:r w:rsidRPr="00DD5890">
        <w:rPr>
          <w:rFonts w:cs="Times New Roman"/>
          <w:szCs w:val="24"/>
        </w:rPr>
        <w:t>Lr</w:t>
      </w:r>
      <w:proofErr w:type="spellEnd"/>
      <w:r w:rsidRPr="00DD5890">
        <w:rPr>
          <w:rFonts w:cs="Times New Roman"/>
          <w:szCs w:val="24"/>
        </w:rPr>
        <w:t>) radii.</w:t>
      </w:r>
      <w:r w:rsidRPr="00DD5890">
        <w:rPr>
          <w:rFonts w:cs="Times New Roman"/>
          <w:szCs w:val="24"/>
        </w:rPr>
        <w:fldChar w:fldCharType="begin" w:fldLock="1"/>
      </w:r>
      <w:r w:rsidR="003B43AB">
        <w:rPr>
          <w:rFonts w:cs="Times New Roman"/>
          <w:szCs w:val="24"/>
        </w:rPr>
        <w:instrText>ADDIN CSL_CITATION {"citationItems":[{"id":"ITEM-1","itemData":{"URL":"https://www.rsc.org/periodic-table/","author":[{"dropping-particle":"","family":"Royal Society of Chemistry","given":"","non-dropping-particle":"","parse-names":false,"suffix":""}],"container-title":"https://www.rsc.org/periodic-table/","id":"ITEM-1","issued":{"date-parts":[["2020"]]},"title":"Periodic Table","type":"webpage"},"uris":["http://www.mendeley.com/documents/?uuid=0cd3d74c-4500-4917-abcc-3786986657f9"]}],"mendeley":{"formattedCitation":"&lt;sup&gt;6&lt;/sup&gt;","plainTextFormattedCitation":"6","previouslyFormattedCitation":"&lt;sup&gt;5&lt;/sup&gt;"},"properties":{"noteIndex":0},"schema":"https://github.com/citation-style-language/schema/raw/master/csl-citation.json"}</w:instrText>
      </w:r>
      <w:r w:rsidRPr="00DD5890">
        <w:rPr>
          <w:rFonts w:cs="Times New Roman"/>
          <w:szCs w:val="24"/>
        </w:rPr>
        <w:fldChar w:fldCharType="separate"/>
      </w:r>
      <w:r w:rsidR="003B43AB" w:rsidRPr="003B43AB">
        <w:rPr>
          <w:rFonts w:cs="Times New Roman"/>
          <w:noProof/>
          <w:szCs w:val="24"/>
          <w:vertAlign w:val="superscript"/>
        </w:rPr>
        <w:t>6</w:t>
      </w:r>
      <w:r w:rsidRPr="00DD5890">
        <w:rPr>
          <w:rFonts w:cs="Times New Roman"/>
          <w:szCs w:val="24"/>
        </w:rPr>
        <w:fldChar w:fldCharType="end"/>
      </w:r>
      <w:r>
        <w:rPr>
          <w:rFonts w:cs="Times New Roman"/>
          <w:szCs w:val="24"/>
        </w:rPr>
        <w:t xml:space="preserve"> </w:t>
      </w:r>
      <w:r w:rsidRPr="00DD5890">
        <w:rPr>
          <w:rFonts w:cs="Times New Roman"/>
          <w:szCs w:val="24"/>
        </w:rPr>
        <w:t>The default radius type for all peripheral atoms is chosen based on the identity of the central atom</w:t>
      </w:r>
      <w:r>
        <w:rPr>
          <w:rFonts w:cs="Times New Roman"/>
          <w:szCs w:val="24"/>
        </w:rPr>
        <w:t xml:space="preserve">: </w:t>
      </w:r>
      <w:r w:rsidRPr="00DD5890">
        <w:rPr>
          <w:rFonts w:cs="Times New Roman"/>
          <w:szCs w:val="24"/>
        </w:rPr>
        <w:t xml:space="preserve">covalent radii </w:t>
      </w:r>
      <w:r>
        <w:rPr>
          <w:rFonts w:cs="Times New Roman"/>
          <w:szCs w:val="24"/>
        </w:rPr>
        <w:t xml:space="preserve">are used </w:t>
      </w:r>
      <w:r w:rsidRPr="00DD5890">
        <w:rPr>
          <w:rFonts w:cs="Times New Roman"/>
          <w:szCs w:val="24"/>
        </w:rPr>
        <w:t xml:space="preserve">if the central atom is a non-metal or semi-metal (H, B, C, N, O, F, Si, P, S, Cl, Ge, As, Se, Br, Sb, </w:t>
      </w:r>
      <w:proofErr w:type="spellStart"/>
      <w:r w:rsidRPr="00DD5890">
        <w:rPr>
          <w:rFonts w:cs="Times New Roman"/>
          <w:szCs w:val="24"/>
        </w:rPr>
        <w:t>Te</w:t>
      </w:r>
      <w:proofErr w:type="spellEnd"/>
      <w:r w:rsidRPr="00DD5890">
        <w:rPr>
          <w:rFonts w:cs="Times New Roman"/>
          <w:szCs w:val="24"/>
        </w:rPr>
        <w:t xml:space="preserve">, I, Po, At, </w:t>
      </w:r>
      <w:proofErr w:type="spellStart"/>
      <w:r w:rsidRPr="00DD5890">
        <w:rPr>
          <w:rFonts w:cs="Times New Roman"/>
          <w:szCs w:val="24"/>
        </w:rPr>
        <w:t>Ts</w:t>
      </w:r>
      <w:proofErr w:type="spellEnd"/>
      <w:r w:rsidRPr="00DD5890">
        <w:rPr>
          <w:rFonts w:cs="Times New Roman"/>
          <w:szCs w:val="24"/>
        </w:rPr>
        <w:t xml:space="preserve">) and non-bonded radii </w:t>
      </w:r>
      <w:r>
        <w:rPr>
          <w:rFonts w:cs="Times New Roman"/>
          <w:szCs w:val="24"/>
        </w:rPr>
        <w:t xml:space="preserve">are used </w:t>
      </w:r>
      <w:r w:rsidRPr="00DD5890">
        <w:rPr>
          <w:rFonts w:cs="Times New Roman"/>
          <w:szCs w:val="24"/>
        </w:rPr>
        <w:t>if the central atom is a metal (all other elements). This can be overwritten by using the “</w:t>
      </w:r>
      <w:r>
        <w:rPr>
          <w:rFonts w:cs="Times New Roman"/>
          <w:szCs w:val="24"/>
        </w:rPr>
        <w:t>--</w:t>
      </w:r>
      <w:r w:rsidRPr="00DD5890">
        <w:rPr>
          <w:rFonts w:cs="Times New Roman"/>
          <w:szCs w:val="24"/>
        </w:rPr>
        <w:t>covalent</w:t>
      </w:r>
      <w:r>
        <w:rPr>
          <w:rFonts w:cs="Times New Roman"/>
          <w:szCs w:val="24"/>
        </w:rPr>
        <w:t>”</w:t>
      </w:r>
      <w:r w:rsidRPr="00DD5890">
        <w:rPr>
          <w:rFonts w:cs="Times New Roman"/>
          <w:szCs w:val="24"/>
        </w:rPr>
        <w:t xml:space="preserve"> or “--</w:t>
      </w:r>
      <w:proofErr w:type="spellStart"/>
      <w:r w:rsidRPr="00DD5890">
        <w:rPr>
          <w:rFonts w:cs="Times New Roman"/>
          <w:szCs w:val="24"/>
        </w:rPr>
        <w:t>nonbonded</w:t>
      </w:r>
      <w:proofErr w:type="spellEnd"/>
      <w:r>
        <w:rPr>
          <w:rFonts w:cs="Times New Roman"/>
          <w:szCs w:val="24"/>
        </w:rPr>
        <w:t>”</w:t>
      </w:r>
      <w:r w:rsidRPr="00DD5890">
        <w:rPr>
          <w:rFonts w:cs="Times New Roman"/>
          <w:szCs w:val="24"/>
        </w:rPr>
        <w:t xml:space="preserve"> options</w:t>
      </w:r>
      <w:r>
        <w:rPr>
          <w:rFonts w:cs="Times New Roman"/>
          <w:szCs w:val="24"/>
        </w:rPr>
        <w:t xml:space="preserve"> (Table 1)</w:t>
      </w:r>
      <w:r w:rsidRPr="00DD5890">
        <w:rPr>
          <w:rFonts w:cs="Times New Roman"/>
          <w:szCs w:val="24"/>
        </w:rPr>
        <w:t>.</w:t>
      </w:r>
    </w:p>
    <w:p w14:paraId="05D7F8DF" w14:textId="00426296" w:rsidR="00F232F2" w:rsidRDefault="00F232F2" w:rsidP="00F232F2">
      <w:pPr>
        <w:rPr>
          <w:rFonts w:cs="Times New Roman"/>
          <w:szCs w:val="24"/>
        </w:rPr>
      </w:pPr>
    </w:p>
    <w:p w14:paraId="2C37D340" w14:textId="68A72C49" w:rsidR="00F232F2" w:rsidRDefault="00F232F2" w:rsidP="00F232F2">
      <w:pPr>
        <w:rPr>
          <w:rFonts w:cs="Times New Roman"/>
          <w:szCs w:val="24"/>
        </w:rPr>
      </w:pPr>
      <w:r w:rsidRPr="00DD5890">
        <w:rPr>
          <w:rFonts w:cs="Times New Roman"/>
          <w:szCs w:val="24"/>
        </w:rPr>
        <w:t xml:space="preserve">Visible rays are grouped into clusters of adjacent rays, and the size of the cluster is calculated as the number of visible rays divided by the number of angular directions (Table </w:t>
      </w:r>
      <w:r>
        <w:rPr>
          <w:rFonts w:cs="Times New Roman"/>
          <w:szCs w:val="24"/>
        </w:rPr>
        <w:t>2</w:t>
      </w:r>
      <w:r w:rsidRPr="00DD5890">
        <w:rPr>
          <w:rFonts w:cs="Times New Roman"/>
          <w:szCs w:val="24"/>
        </w:rPr>
        <w:t xml:space="preserve">) to give a %VSA for the cluster. The total %VSA is calculated as the sum of the %VSA for each cluster. </w:t>
      </w:r>
      <w:r w:rsidRPr="00F232F2">
        <w:rPr>
          <w:rFonts w:cs="Times New Roman"/>
          <w:szCs w:val="24"/>
        </w:rPr>
        <w:t xml:space="preserve">The </w:t>
      </w:r>
      <w:r>
        <w:rPr>
          <w:rFonts w:cs="Times New Roman"/>
          <w:szCs w:val="24"/>
        </w:rPr>
        <w:t>“</w:t>
      </w:r>
      <w:r w:rsidRPr="00F232F2">
        <w:rPr>
          <w:rFonts w:cs="Times New Roman"/>
          <w:szCs w:val="24"/>
        </w:rPr>
        <w:t>--</w:t>
      </w:r>
      <w:proofErr w:type="spellStart"/>
      <w:r w:rsidRPr="00F232F2">
        <w:rPr>
          <w:rFonts w:cs="Times New Roman"/>
          <w:szCs w:val="24"/>
        </w:rPr>
        <w:t>clusterthreshold</w:t>
      </w:r>
      <w:proofErr w:type="spellEnd"/>
      <w:r>
        <w:rPr>
          <w:rFonts w:cs="Times New Roman"/>
          <w:szCs w:val="24"/>
        </w:rPr>
        <w:t>”</w:t>
      </w:r>
      <w:r w:rsidRPr="00F232F2">
        <w:rPr>
          <w:rFonts w:cs="Times New Roman"/>
          <w:szCs w:val="24"/>
        </w:rPr>
        <w:t xml:space="preserve"> option</w:t>
      </w:r>
      <w:r>
        <w:rPr>
          <w:rFonts w:cs="Times New Roman"/>
          <w:szCs w:val="24"/>
        </w:rPr>
        <w:t xml:space="preserve"> (Table 1)</w:t>
      </w:r>
      <w:r w:rsidRPr="00F232F2">
        <w:rPr>
          <w:rFonts w:cs="Times New Roman"/>
          <w:szCs w:val="24"/>
        </w:rPr>
        <w:t xml:space="preserve"> allows all clusters below a certain %VSA to be discarded and not reported; this can be used to discard </w:t>
      </w:r>
      <w:r>
        <w:rPr>
          <w:rFonts w:cs="Times New Roman"/>
          <w:szCs w:val="24"/>
        </w:rPr>
        <w:t xml:space="preserve">meaningless </w:t>
      </w:r>
      <w:r w:rsidRPr="00F232F2">
        <w:rPr>
          <w:rFonts w:cs="Times New Roman"/>
          <w:szCs w:val="24"/>
        </w:rPr>
        <w:t>clusters that are too small to allow another atom to approach</w:t>
      </w:r>
      <w:r>
        <w:rPr>
          <w:rFonts w:cs="Times New Roman"/>
          <w:szCs w:val="24"/>
        </w:rPr>
        <w:t xml:space="preserve">. </w:t>
      </w:r>
      <w:r w:rsidRPr="00DD5890">
        <w:rPr>
          <w:rFonts w:cs="Times New Roman"/>
          <w:szCs w:val="24"/>
        </w:rPr>
        <w:t xml:space="preserve">The default is to report </w:t>
      </w:r>
      <w:r>
        <w:rPr>
          <w:rFonts w:cs="Times New Roman"/>
          <w:szCs w:val="24"/>
        </w:rPr>
        <w:t xml:space="preserve">the size of </w:t>
      </w:r>
      <w:r w:rsidRPr="00DD5890">
        <w:rPr>
          <w:rFonts w:cs="Times New Roman"/>
          <w:szCs w:val="24"/>
        </w:rPr>
        <w:t>all clusters</w:t>
      </w:r>
      <w:r>
        <w:rPr>
          <w:rFonts w:cs="Times New Roman"/>
          <w:szCs w:val="24"/>
        </w:rPr>
        <w:t xml:space="preserve"> and include all clusters in the total %VSA.</w:t>
      </w:r>
    </w:p>
    <w:p w14:paraId="5F74AEE1" w14:textId="77777777" w:rsidR="00F232F2" w:rsidRDefault="00F232F2" w:rsidP="0078517E">
      <w:pPr>
        <w:rPr>
          <w:rFonts w:cs="Times New Roman"/>
          <w:szCs w:val="24"/>
        </w:rPr>
      </w:pPr>
    </w:p>
    <w:p w14:paraId="3488C279" w14:textId="6F09EE7F" w:rsidR="0078517E" w:rsidRDefault="0078517E" w:rsidP="0078517E">
      <w:pPr>
        <w:rPr>
          <w:rFonts w:cs="Times New Roman"/>
          <w:szCs w:val="24"/>
        </w:rPr>
      </w:pPr>
      <w:r w:rsidRPr="00DD5890">
        <w:rPr>
          <w:rFonts w:cs="Times New Roman"/>
          <w:i/>
          <w:szCs w:val="24"/>
        </w:rPr>
        <w:t>AtomAccess</w:t>
      </w:r>
      <w:r w:rsidRPr="00DD5890">
        <w:rPr>
          <w:rFonts w:cs="Times New Roman"/>
          <w:szCs w:val="24"/>
        </w:rPr>
        <w:t xml:space="preserve"> includes several options to enable further analysis. The “--csv</w:t>
      </w:r>
      <w:r w:rsidR="001D32B6">
        <w:rPr>
          <w:rFonts w:cs="Times New Roman"/>
          <w:szCs w:val="24"/>
        </w:rPr>
        <w:t>”</w:t>
      </w:r>
      <w:r w:rsidRPr="00DD5890">
        <w:rPr>
          <w:rFonts w:cs="Times New Roman"/>
          <w:szCs w:val="24"/>
        </w:rPr>
        <w:t xml:space="preserve"> option </w:t>
      </w:r>
      <w:r w:rsidR="003B43AB">
        <w:rPr>
          <w:rFonts w:cs="Times New Roman"/>
          <w:szCs w:val="24"/>
        </w:rPr>
        <w:t xml:space="preserve">(Table 1) </w:t>
      </w:r>
      <w:r w:rsidRPr="00DD5890">
        <w:rPr>
          <w:rFonts w:cs="Times New Roman"/>
          <w:szCs w:val="24"/>
        </w:rPr>
        <w:t>can be used to generate a list of spherical polar coordinates (θ,</w:t>
      </w:r>
      <w:r w:rsidR="00713CB6">
        <w:rPr>
          <w:rFonts w:cs="Times New Roman"/>
          <w:szCs w:val="24"/>
        </w:rPr>
        <w:t xml:space="preserve"> </w:t>
      </w:r>
      <w:r w:rsidRPr="00DD5890">
        <w:rPr>
          <w:rFonts w:cs="Times New Roman"/>
          <w:szCs w:val="24"/>
        </w:rPr>
        <w:t xml:space="preserve">φ) of all visible </w:t>
      </w:r>
      <w:r w:rsidR="003B43AB">
        <w:rPr>
          <w:rFonts w:cs="Times New Roman"/>
          <w:szCs w:val="24"/>
        </w:rPr>
        <w:t xml:space="preserve">angular </w:t>
      </w:r>
      <w:r w:rsidRPr="00DD5890">
        <w:rPr>
          <w:rFonts w:cs="Times New Roman"/>
          <w:szCs w:val="24"/>
        </w:rPr>
        <w:t>points.</w:t>
      </w:r>
      <w:r w:rsidR="00F232F2">
        <w:rPr>
          <w:rFonts w:cs="Times New Roman"/>
          <w:szCs w:val="24"/>
        </w:rPr>
        <w:t xml:space="preserve"> These can be used in other programs to visualise the accessible </w:t>
      </w:r>
      <w:r w:rsidR="003B43AB">
        <w:rPr>
          <w:rFonts w:cs="Times New Roman"/>
          <w:szCs w:val="24"/>
        </w:rPr>
        <w:t>directions</w:t>
      </w:r>
      <w:r w:rsidR="00F232F2">
        <w:rPr>
          <w:rFonts w:cs="Times New Roman"/>
          <w:szCs w:val="24"/>
        </w:rPr>
        <w:t xml:space="preserve"> (Figure 1).</w:t>
      </w:r>
      <w:r w:rsidRPr="00DD5890">
        <w:rPr>
          <w:rFonts w:cs="Times New Roman"/>
          <w:szCs w:val="24"/>
        </w:rPr>
        <w:t xml:space="preserve"> The “</w:t>
      </w:r>
      <w:r w:rsidRPr="00DD5890">
        <w:rPr>
          <w:rFonts w:cs="Times New Roman"/>
          <w:szCs w:val="24"/>
        </w:rPr>
        <w:noBreakHyphen/>
      </w:r>
      <w:r w:rsidRPr="00DD5890">
        <w:rPr>
          <w:rFonts w:cs="Times New Roman"/>
          <w:szCs w:val="24"/>
        </w:rPr>
        <w:noBreakHyphen/>
        <w:t>batch</w:t>
      </w:r>
      <w:r w:rsidR="001D32B6">
        <w:rPr>
          <w:rFonts w:cs="Times New Roman"/>
          <w:szCs w:val="24"/>
        </w:rPr>
        <w:t>”</w:t>
      </w:r>
      <w:r w:rsidRPr="00DD5890">
        <w:rPr>
          <w:rFonts w:cs="Times New Roman"/>
          <w:szCs w:val="24"/>
        </w:rPr>
        <w:t xml:space="preserve"> option allows results from multiple different structures to be collated in a single csv output file</w:t>
      </w:r>
      <w:r w:rsidR="003B43AB">
        <w:rPr>
          <w:rFonts w:cs="Times New Roman"/>
          <w:szCs w:val="24"/>
        </w:rPr>
        <w:t xml:space="preserve"> (Table 1)</w:t>
      </w:r>
      <w:r w:rsidRPr="00DD5890">
        <w:rPr>
          <w:rFonts w:cs="Times New Roman"/>
          <w:szCs w:val="24"/>
        </w:rPr>
        <w:t xml:space="preserve">. The batch option requires the same </w:t>
      </w:r>
      <w:r w:rsidRPr="00DD5890">
        <w:rPr>
          <w:rFonts w:cs="Times New Roman"/>
          <w:i/>
          <w:szCs w:val="24"/>
        </w:rPr>
        <w:t>AtomAccess</w:t>
      </w:r>
      <w:r w:rsidRPr="00DD5890">
        <w:rPr>
          <w:rFonts w:cs="Times New Roman"/>
          <w:szCs w:val="24"/>
        </w:rPr>
        <w:t xml:space="preserve"> settings to be used for all calculations and for the calculation</w:t>
      </w:r>
      <w:r w:rsidR="00F232F2">
        <w:rPr>
          <w:rFonts w:cs="Times New Roman"/>
          <w:szCs w:val="24"/>
        </w:rPr>
        <w:t>s</w:t>
      </w:r>
      <w:r w:rsidRPr="00DD5890">
        <w:rPr>
          <w:rFonts w:cs="Times New Roman"/>
          <w:szCs w:val="24"/>
        </w:rPr>
        <w:t xml:space="preserve"> to be performed in the same directory. The xyz input files must be also be labelled with the same group identifier, but can have different secondary identifier</w:t>
      </w:r>
      <w:r w:rsidR="00BC7DE8">
        <w:rPr>
          <w:rFonts w:cs="Times New Roman"/>
          <w:szCs w:val="24"/>
        </w:rPr>
        <w:t>s, for example</w:t>
      </w:r>
      <w:r w:rsidRPr="00DD5890">
        <w:rPr>
          <w:rFonts w:cs="Times New Roman"/>
          <w:szCs w:val="24"/>
        </w:rPr>
        <w:t>:</w:t>
      </w:r>
      <w:r w:rsidRPr="0078517E">
        <w:rPr>
          <w:rFonts w:cs="Times New Roman"/>
          <w:szCs w:val="24"/>
        </w:rPr>
        <w:t xml:space="preserve"> </w:t>
      </w:r>
    </w:p>
    <w:p w14:paraId="7551213E" w14:textId="77777777" w:rsidR="0078517E" w:rsidRDefault="0078517E" w:rsidP="0078517E">
      <w:pPr>
        <w:rPr>
          <w:rFonts w:cs="Times New Roman"/>
          <w:szCs w:val="24"/>
        </w:rPr>
      </w:pPr>
    </w:p>
    <w:p w14:paraId="7D8101AF" w14:textId="77777777" w:rsidR="0078517E" w:rsidRPr="00DD5890" w:rsidRDefault="0078517E" w:rsidP="0078517E">
      <w:pPr>
        <w:rPr>
          <w:rFonts w:cs="Times New Roman"/>
          <w:szCs w:val="24"/>
        </w:rPr>
      </w:pPr>
      <w:r w:rsidRPr="00DD5890">
        <w:rPr>
          <w:rFonts w:cs="Times New Roman"/>
          <w:szCs w:val="24"/>
        </w:rPr>
        <w:t>&lt;</w:t>
      </w:r>
      <w:proofErr w:type="spellStart"/>
      <w:r w:rsidRPr="00DD5890">
        <w:rPr>
          <w:rFonts w:cs="Times New Roman"/>
          <w:szCs w:val="24"/>
        </w:rPr>
        <w:t>GroupID</w:t>
      </w:r>
      <w:proofErr w:type="spellEnd"/>
      <w:r w:rsidRPr="00DD5890">
        <w:rPr>
          <w:rFonts w:cs="Times New Roman"/>
          <w:szCs w:val="24"/>
        </w:rPr>
        <w:t>&gt;.&lt;UniqueID_1&gt;.xyz</w:t>
      </w:r>
    </w:p>
    <w:p w14:paraId="592A8FE2" w14:textId="77777777" w:rsidR="0078517E" w:rsidRPr="00DD5890" w:rsidRDefault="0078517E" w:rsidP="0078517E">
      <w:pPr>
        <w:rPr>
          <w:rFonts w:cs="Times New Roman"/>
          <w:szCs w:val="24"/>
        </w:rPr>
      </w:pPr>
      <w:r w:rsidRPr="00DD5890">
        <w:rPr>
          <w:rFonts w:cs="Times New Roman"/>
          <w:szCs w:val="24"/>
        </w:rPr>
        <w:t>&lt;</w:t>
      </w:r>
      <w:proofErr w:type="spellStart"/>
      <w:r w:rsidRPr="00DD5890">
        <w:rPr>
          <w:rFonts w:cs="Times New Roman"/>
          <w:szCs w:val="24"/>
        </w:rPr>
        <w:t>GroupID</w:t>
      </w:r>
      <w:proofErr w:type="spellEnd"/>
      <w:r w:rsidRPr="00DD5890">
        <w:rPr>
          <w:rFonts w:cs="Times New Roman"/>
          <w:szCs w:val="24"/>
        </w:rPr>
        <w:t>&gt;.&lt;UniqueID_2&gt;.xyz</w:t>
      </w:r>
    </w:p>
    <w:p w14:paraId="43AE838F" w14:textId="77777777" w:rsidR="0078517E" w:rsidRDefault="0078517E" w:rsidP="0078517E">
      <w:pPr>
        <w:rPr>
          <w:rFonts w:cs="Times New Roman"/>
          <w:szCs w:val="24"/>
        </w:rPr>
      </w:pPr>
      <w:r w:rsidRPr="00DD5890">
        <w:rPr>
          <w:rFonts w:cs="Times New Roman"/>
          <w:szCs w:val="24"/>
        </w:rPr>
        <w:t>&lt;</w:t>
      </w:r>
      <w:proofErr w:type="spellStart"/>
      <w:r w:rsidRPr="00DD5890">
        <w:rPr>
          <w:rFonts w:cs="Times New Roman"/>
          <w:szCs w:val="24"/>
        </w:rPr>
        <w:t>GroupID</w:t>
      </w:r>
      <w:proofErr w:type="spellEnd"/>
      <w:r w:rsidRPr="00DD5890">
        <w:rPr>
          <w:rFonts w:cs="Times New Roman"/>
          <w:szCs w:val="24"/>
        </w:rPr>
        <w:t xml:space="preserve">&gt;.&lt;UniqueID_3&gt;.xyz etc. </w:t>
      </w:r>
    </w:p>
    <w:p w14:paraId="7BFDA028" w14:textId="77777777" w:rsidR="0078517E" w:rsidRDefault="0078517E" w:rsidP="0078517E"/>
    <w:p w14:paraId="09C3AC0E" w14:textId="0D8D99CC" w:rsidR="0078517E" w:rsidRPr="00DD5890" w:rsidRDefault="0078517E" w:rsidP="0078517E">
      <w:pPr>
        <w:spacing w:after="160" w:line="259" w:lineRule="auto"/>
        <w:rPr>
          <w:rFonts w:cs="Times New Roman"/>
          <w:szCs w:val="24"/>
        </w:rPr>
      </w:pPr>
      <w:r w:rsidRPr="00DD5890">
        <w:rPr>
          <w:rFonts w:cs="Times New Roman"/>
          <w:szCs w:val="24"/>
        </w:rPr>
        <w:t xml:space="preserve">The </w:t>
      </w:r>
      <w:r w:rsidR="00F232F2">
        <w:rPr>
          <w:rFonts w:cs="Times New Roman"/>
          <w:szCs w:val="24"/>
        </w:rPr>
        <w:t>u</w:t>
      </w:r>
      <w:r w:rsidRPr="00DD5890">
        <w:rPr>
          <w:rFonts w:cs="Times New Roman"/>
          <w:szCs w:val="24"/>
        </w:rPr>
        <w:t>nique</w:t>
      </w:r>
      <w:r w:rsidR="00F232F2">
        <w:rPr>
          <w:rFonts w:cs="Times New Roman"/>
          <w:szCs w:val="24"/>
        </w:rPr>
        <w:t xml:space="preserve"> </w:t>
      </w:r>
      <w:r w:rsidR="003B43AB">
        <w:rPr>
          <w:rFonts w:cs="Times New Roman"/>
          <w:szCs w:val="24"/>
        </w:rPr>
        <w:t>identifier</w:t>
      </w:r>
      <w:r w:rsidRPr="00DD5890">
        <w:rPr>
          <w:rFonts w:cs="Times New Roman"/>
          <w:szCs w:val="24"/>
        </w:rPr>
        <w:t xml:space="preserve">, total %VSA and %VSA for </w:t>
      </w:r>
      <w:r w:rsidR="003B43AB">
        <w:rPr>
          <w:rFonts w:cs="Times New Roman"/>
          <w:szCs w:val="24"/>
        </w:rPr>
        <w:t xml:space="preserve">the </w:t>
      </w:r>
      <w:r w:rsidRPr="00DD5890">
        <w:rPr>
          <w:rFonts w:cs="Times New Roman"/>
          <w:szCs w:val="24"/>
        </w:rPr>
        <w:t>largest cluster are reported in the resulting batch csv file</w:t>
      </w:r>
      <w:r w:rsidR="00BC7DE8">
        <w:rPr>
          <w:rFonts w:cs="Times New Roman"/>
          <w:szCs w:val="24"/>
        </w:rPr>
        <w:t>.</w:t>
      </w:r>
    </w:p>
    <w:p w14:paraId="7A188F69" w14:textId="77777777" w:rsidR="00C239F1" w:rsidRDefault="00C239F1" w:rsidP="00456B46"/>
    <w:p w14:paraId="69013C40" w14:textId="20A7CAA2" w:rsidR="00456B46" w:rsidRPr="00DB3D98" w:rsidRDefault="00456B46" w:rsidP="00456B46"/>
    <w:p w14:paraId="1AF35DC4" w14:textId="77777777" w:rsidR="00456B46" w:rsidRDefault="00456B46">
      <w:pPr>
        <w:spacing w:after="200" w:line="276" w:lineRule="auto"/>
        <w:jc w:val="left"/>
      </w:pPr>
    </w:p>
    <w:p w14:paraId="218BC22D" w14:textId="360C8FBF" w:rsidR="00A86F42" w:rsidRDefault="00A86F42">
      <w:pPr>
        <w:spacing w:after="200" w:line="276" w:lineRule="auto"/>
        <w:jc w:val="left"/>
      </w:pPr>
      <w:r>
        <w:br w:type="page"/>
      </w:r>
    </w:p>
    <w:p w14:paraId="6B577967" w14:textId="7EEDEC62" w:rsidR="00056B48" w:rsidRPr="00DB3D98" w:rsidRDefault="00D02641" w:rsidP="00F57D22">
      <w:pPr>
        <w:pStyle w:val="Heading1"/>
      </w:pPr>
      <w:r w:rsidRPr="00DB3D98">
        <w:lastRenderedPageBreak/>
        <w:t xml:space="preserve">3. </w:t>
      </w:r>
      <w:r w:rsidR="0078517E">
        <w:t>References</w:t>
      </w:r>
    </w:p>
    <w:p w14:paraId="222FC0D9" w14:textId="556A7E94" w:rsidR="00F57D22" w:rsidRPr="00DB3D98" w:rsidRDefault="00DE6B96" w:rsidP="00796BAD">
      <w:pPr>
        <w:rPr>
          <w:b/>
        </w:rPr>
      </w:pPr>
      <w:r>
        <w:rPr>
          <w:rFonts w:cs="Times New Roman"/>
          <w:noProof/>
          <w:szCs w:val="24"/>
        </w:rPr>
        <w:pict w14:anchorId="7186E4AE">
          <v:rect id="_x0000_i1028" alt="" style="width:451.3pt;height:1.5pt;mso-width-percent:0;mso-height-percent:0;mso-position-vertical:absolute;mso-width-percent:0;mso-height-percent:0" o:hralign="center" o:hrstd="t" o:hrnoshade="t" o:hr="t" fillcolor="black [3213]" stroked="f"/>
        </w:pict>
      </w:r>
    </w:p>
    <w:p w14:paraId="0B444728" w14:textId="6ECBA1B9" w:rsidR="00F57D22" w:rsidRDefault="00F57D22" w:rsidP="00796BAD">
      <w:pPr>
        <w:rPr>
          <w:b/>
        </w:rPr>
      </w:pPr>
    </w:p>
    <w:p w14:paraId="6FCE9C31" w14:textId="3144886D" w:rsidR="003B43AB" w:rsidRPr="003B43AB" w:rsidRDefault="0033169D" w:rsidP="003B43AB">
      <w:pPr>
        <w:widowControl w:val="0"/>
        <w:autoSpaceDE w:val="0"/>
        <w:autoSpaceDN w:val="0"/>
        <w:adjustRightInd w:val="0"/>
        <w:ind w:hanging="426"/>
        <w:rPr>
          <w:rFonts w:cs="Times New Roman"/>
          <w:noProof/>
          <w:szCs w:val="24"/>
        </w:rPr>
      </w:pPr>
      <w:r>
        <w:rPr>
          <w:b/>
        </w:rPr>
        <w:fldChar w:fldCharType="begin" w:fldLock="1"/>
      </w:r>
      <w:r>
        <w:rPr>
          <w:b/>
        </w:rPr>
        <w:instrText xml:space="preserve">ADDIN Mendeley Bibliography CSL_BIBLIOGRAPHY </w:instrText>
      </w:r>
      <w:r>
        <w:rPr>
          <w:b/>
        </w:rPr>
        <w:fldChar w:fldCharType="separate"/>
      </w:r>
      <w:r w:rsidR="003B43AB">
        <w:rPr>
          <w:rFonts w:cs="Times New Roman"/>
          <w:noProof/>
          <w:szCs w:val="24"/>
        </w:rPr>
        <w:t>1.</w:t>
      </w:r>
      <w:r w:rsidR="003B43AB" w:rsidRPr="003B43AB">
        <w:rPr>
          <w:rFonts w:cs="Times New Roman"/>
          <w:noProof/>
          <w:szCs w:val="24"/>
        </w:rPr>
        <w:t xml:space="preserve"> </w:t>
      </w:r>
      <w:r w:rsidR="003B43AB" w:rsidRPr="003B43AB">
        <w:rPr>
          <w:rFonts w:cs="Times New Roman"/>
          <w:noProof/>
          <w:szCs w:val="24"/>
        </w:rPr>
        <w:tab/>
        <w:t xml:space="preserve">Goodwin, C. A. P.; Ortu, F.; Reta, D.; Chilton, N. F.; Mills, D. P. Molecular Magnetic Hysteresis at 60 Kelvin in Dysprosocenium. </w:t>
      </w:r>
      <w:r w:rsidR="003B43AB" w:rsidRPr="003B43AB">
        <w:rPr>
          <w:rFonts w:cs="Times New Roman"/>
          <w:i/>
          <w:iCs/>
          <w:noProof/>
          <w:szCs w:val="24"/>
        </w:rPr>
        <w:t>Nature</w:t>
      </w:r>
      <w:r w:rsidR="003B43AB" w:rsidRPr="003B43AB">
        <w:rPr>
          <w:rFonts w:cs="Times New Roman"/>
          <w:noProof/>
          <w:szCs w:val="24"/>
        </w:rPr>
        <w:t xml:space="preserve"> </w:t>
      </w:r>
      <w:r w:rsidR="003B43AB" w:rsidRPr="003B43AB">
        <w:rPr>
          <w:rFonts w:cs="Times New Roman"/>
          <w:b/>
          <w:bCs/>
          <w:noProof/>
          <w:szCs w:val="24"/>
        </w:rPr>
        <w:t>2017</w:t>
      </w:r>
      <w:r w:rsidR="003B43AB" w:rsidRPr="003B43AB">
        <w:rPr>
          <w:rFonts w:cs="Times New Roman"/>
          <w:noProof/>
          <w:szCs w:val="24"/>
        </w:rPr>
        <w:t xml:space="preserve">, </w:t>
      </w:r>
      <w:r w:rsidR="003B43AB" w:rsidRPr="003B43AB">
        <w:rPr>
          <w:rFonts w:cs="Times New Roman"/>
          <w:i/>
          <w:iCs/>
          <w:noProof/>
          <w:szCs w:val="24"/>
        </w:rPr>
        <w:t>548</w:t>
      </w:r>
      <w:r w:rsidR="003B43AB" w:rsidRPr="003B43AB">
        <w:rPr>
          <w:rFonts w:cs="Times New Roman"/>
          <w:noProof/>
          <w:szCs w:val="24"/>
        </w:rPr>
        <w:t>, 439–442. https://doi.org/10.1038/nature23447.</w:t>
      </w:r>
    </w:p>
    <w:p w14:paraId="644AF04C" w14:textId="47587933" w:rsidR="003B43AB" w:rsidRPr="003B43AB" w:rsidRDefault="003B43AB" w:rsidP="003B43AB">
      <w:pPr>
        <w:widowControl w:val="0"/>
        <w:autoSpaceDE w:val="0"/>
        <w:autoSpaceDN w:val="0"/>
        <w:adjustRightInd w:val="0"/>
        <w:ind w:hanging="426"/>
        <w:rPr>
          <w:rFonts w:cs="Times New Roman"/>
          <w:noProof/>
          <w:szCs w:val="24"/>
        </w:rPr>
      </w:pPr>
      <w:r>
        <w:rPr>
          <w:rFonts w:cs="Times New Roman"/>
          <w:noProof/>
          <w:szCs w:val="24"/>
        </w:rPr>
        <w:t>2.</w:t>
      </w:r>
      <w:r w:rsidRPr="003B43AB">
        <w:rPr>
          <w:rFonts w:cs="Times New Roman"/>
          <w:noProof/>
          <w:szCs w:val="24"/>
        </w:rPr>
        <w:t xml:space="preserve"> </w:t>
      </w:r>
      <w:r w:rsidRPr="003B43AB">
        <w:rPr>
          <w:rFonts w:cs="Times New Roman"/>
          <w:noProof/>
          <w:szCs w:val="24"/>
        </w:rPr>
        <w:tab/>
        <w:t xml:space="preserve">Demir, S.; Zadrozny, J. M.; Nippe, M.; Long, J. R. Exchange Coupling and Magnetic Blocking in Bipyrimidyl Radical-Bridged Dilanthanide Complexes. </w:t>
      </w:r>
      <w:r w:rsidRPr="003B43AB">
        <w:rPr>
          <w:rFonts w:cs="Times New Roman"/>
          <w:i/>
          <w:iCs/>
          <w:noProof/>
          <w:szCs w:val="24"/>
        </w:rPr>
        <w:t>J. Am. Chem. Soc.</w:t>
      </w:r>
      <w:r w:rsidRPr="003B43AB">
        <w:rPr>
          <w:rFonts w:cs="Times New Roman"/>
          <w:noProof/>
          <w:szCs w:val="24"/>
        </w:rPr>
        <w:t xml:space="preserve"> </w:t>
      </w:r>
      <w:r w:rsidRPr="003B43AB">
        <w:rPr>
          <w:rFonts w:cs="Times New Roman"/>
          <w:b/>
          <w:bCs/>
          <w:noProof/>
          <w:szCs w:val="24"/>
        </w:rPr>
        <w:t>2012</w:t>
      </w:r>
      <w:r w:rsidRPr="003B43AB">
        <w:rPr>
          <w:rFonts w:cs="Times New Roman"/>
          <w:noProof/>
          <w:szCs w:val="24"/>
        </w:rPr>
        <w:t xml:space="preserve">, </w:t>
      </w:r>
      <w:r w:rsidRPr="003B43AB">
        <w:rPr>
          <w:rFonts w:cs="Times New Roman"/>
          <w:i/>
          <w:iCs/>
          <w:noProof/>
          <w:szCs w:val="24"/>
        </w:rPr>
        <w:t>134</w:t>
      </w:r>
      <w:r w:rsidRPr="003B43AB">
        <w:rPr>
          <w:rFonts w:cs="Times New Roman"/>
          <w:noProof/>
          <w:szCs w:val="24"/>
        </w:rPr>
        <w:t>, 18546–18549. https://doi.org/10.1021/ja308945d.</w:t>
      </w:r>
    </w:p>
    <w:p w14:paraId="29F16E0D" w14:textId="0946FDC6" w:rsidR="003B43AB" w:rsidRPr="003B43AB" w:rsidRDefault="003B43AB" w:rsidP="003B43AB">
      <w:pPr>
        <w:widowControl w:val="0"/>
        <w:autoSpaceDE w:val="0"/>
        <w:autoSpaceDN w:val="0"/>
        <w:adjustRightInd w:val="0"/>
        <w:ind w:hanging="426"/>
        <w:rPr>
          <w:rFonts w:cs="Times New Roman"/>
          <w:noProof/>
          <w:szCs w:val="24"/>
        </w:rPr>
      </w:pPr>
      <w:r>
        <w:rPr>
          <w:rFonts w:cs="Times New Roman"/>
          <w:noProof/>
          <w:szCs w:val="24"/>
        </w:rPr>
        <w:t>3.</w:t>
      </w:r>
      <w:r w:rsidRPr="003B43AB">
        <w:rPr>
          <w:rFonts w:cs="Times New Roman"/>
          <w:noProof/>
          <w:szCs w:val="24"/>
        </w:rPr>
        <w:t xml:space="preserve"> </w:t>
      </w:r>
      <w:r w:rsidRPr="003B43AB">
        <w:rPr>
          <w:rFonts w:cs="Times New Roman"/>
          <w:noProof/>
          <w:szCs w:val="24"/>
        </w:rPr>
        <w:tab/>
        <w:t>Mathematica, Version 12.1. Wolfram Research, Inc. 2020.</w:t>
      </w:r>
    </w:p>
    <w:p w14:paraId="2E17A56A" w14:textId="4FA9FB07" w:rsidR="003B43AB" w:rsidRPr="003B43AB" w:rsidRDefault="003B43AB" w:rsidP="003B43AB">
      <w:pPr>
        <w:widowControl w:val="0"/>
        <w:autoSpaceDE w:val="0"/>
        <w:autoSpaceDN w:val="0"/>
        <w:adjustRightInd w:val="0"/>
        <w:ind w:hanging="426"/>
        <w:rPr>
          <w:rFonts w:cs="Times New Roman"/>
          <w:noProof/>
          <w:szCs w:val="24"/>
        </w:rPr>
      </w:pPr>
      <w:r>
        <w:rPr>
          <w:rFonts w:cs="Times New Roman"/>
          <w:noProof/>
          <w:szCs w:val="24"/>
        </w:rPr>
        <w:t>4.</w:t>
      </w:r>
      <w:r w:rsidRPr="003B43AB">
        <w:rPr>
          <w:rFonts w:cs="Times New Roman"/>
          <w:noProof/>
          <w:szCs w:val="24"/>
        </w:rPr>
        <w:t xml:space="preserve"> </w:t>
      </w:r>
      <w:r w:rsidRPr="003B43AB">
        <w:rPr>
          <w:rFonts w:cs="Times New Roman"/>
          <w:noProof/>
          <w:szCs w:val="24"/>
        </w:rPr>
        <w:tab/>
        <w:t xml:space="preserve">Van Rossum, G.; Drake, F. L. </w:t>
      </w:r>
      <w:r w:rsidRPr="003B43AB">
        <w:rPr>
          <w:rFonts w:cs="Times New Roman"/>
          <w:i/>
          <w:iCs/>
          <w:noProof/>
          <w:szCs w:val="24"/>
        </w:rPr>
        <w:t>Python 3 Reference Manual</w:t>
      </w:r>
      <w:r w:rsidRPr="003B43AB">
        <w:rPr>
          <w:rFonts w:cs="Times New Roman"/>
          <w:noProof/>
          <w:szCs w:val="24"/>
        </w:rPr>
        <w:t>; CreateSpace: Scotts Valley, CA, 2009.</w:t>
      </w:r>
    </w:p>
    <w:p w14:paraId="5C31B24A" w14:textId="7DFBA218" w:rsidR="003B43AB" w:rsidRPr="003B43AB" w:rsidRDefault="003B43AB" w:rsidP="003B43AB">
      <w:pPr>
        <w:widowControl w:val="0"/>
        <w:autoSpaceDE w:val="0"/>
        <w:autoSpaceDN w:val="0"/>
        <w:adjustRightInd w:val="0"/>
        <w:ind w:hanging="426"/>
        <w:rPr>
          <w:rFonts w:cs="Times New Roman"/>
          <w:noProof/>
          <w:szCs w:val="24"/>
        </w:rPr>
      </w:pPr>
      <w:r>
        <w:rPr>
          <w:rFonts w:cs="Times New Roman"/>
          <w:noProof/>
          <w:szCs w:val="24"/>
        </w:rPr>
        <w:t>5.</w:t>
      </w:r>
      <w:r w:rsidRPr="003B43AB">
        <w:rPr>
          <w:rFonts w:cs="Times New Roman"/>
          <w:noProof/>
          <w:szCs w:val="24"/>
        </w:rPr>
        <w:t xml:space="preserve"> </w:t>
      </w:r>
      <w:r w:rsidRPr="003B43AB">
        <w:rPr>
          <w:rFonts w:cs="Times New Roman"/>
          <w:noProof/>
          <w:szCs w:val="24"/>
        </w:rPr>
        <w:tab/>
        <w:t xml:space="preserve">Edén, M.; Levitt, M. H. Computation of Orientational Averages in Solid-State NMR by Gaussian Spherical Quadrature. </w:t>
      </w:r>
      <w:r w:rsidRPr="003B43AB">
        <w:rPr>
          <w:rFonts w:cs="Times New Roman"/>
          <w:i/>
          <w:iCs/>
          <w:noProof/>
          <w:szCs w:val="24"/>
        </w:rPr>
        <w:t>J. Magn. Reson.</w:t>
      </w:r>
      <w:r w:rsidRPr="003B43AB">
        <w:rPr>
          <w:rFonts w:cs="Times New Roman"/>
          <w:noProof/>
          <w:szCs w:val="24"/>
        </w:rPr>
        <w:t xml:space="preserve"> </w:t>
      </w:r>
      <w:r w:rsidRPr="003B43AB">
        <w:rPr>
          <w:rFonts w:cs="Times New Roman"/>
          <w:b/>
          <w:bCs/>
          <w:noProof/>
          <w:szCs w:val="24"/>
        </w:rPr>
        <w:t>1998</w:t>
      </w:r>
      <w:r w:rsidRPr="003B43AB">
        <w:rPr>
          <w:rFonts w:cs="Times New Roman"/>
          <w:noProof/>
          <w:szCs w:val="24"/>
        </w:rPr>
        <w:t xml:space="preserve">, </w:t>
      </w:r>
      <w:r w:rsidRPr="003B43AB">
        <w:rPr>
          <w:rFonts w:cs="Times New Roman"/>
          <w:i/>
          <w:iCs/>
          <w:noProof/>
          <w:szCs w:val="24"/>
        </w:rPr>
        <w:t>132</w:t>
      </w:r>
      <w:bookmarkStart w:id="3" w:name="_GoBack"/>
      <w:bookmarkEnd w:id="3"/>
      <w:r w:rsidRPr="003B43AB">
        <w:rPr>
          <w:rFonts w:cs="Times New Roman"/>
          <w:noProof/>
          <w:szCs w:val="24"/>
        </w:rPr>
        <w:t>, 220–239. https://doi.org/10.1006/jmre.1998.1427.</w:t>
      </w:r>
    </w:p>
    <w:p w14:paraId="7991B877" w14:textId="0DA2F9F2" w:rsidR="003B43AB" w:rsidRPr="003B43AB" w:rsidRDefault="003B43AB" w:rsidP="003B43AB">
      <w:pPr>
        <w:widowControl w:val="0"/>
        <w:autoSpaceDE w:val="0"/>
        <w:autoSpaceDN w:val="0"/>
        <w:adjustRightInd w:val="0"/>
        <w:ind w:hanging="426"/>
        <w:rPr>
          <w:rFonts w:cs="Times New Roman"/>
          <w:noProof/>
        </w:rPr>
      </w:pPr>
      <w:r>
        <w:rPr>
          <w:rFonts w:cs="Times New Roman"/>
          <w:noProof/>
          <w:szCs w:val="24"/>
        </w:rPr>
        <w:t>6.</w:t>
      </w:r>
      <w:r w:rsidRPr="003B43AB">
        <w:rPr>
          <w:rFonts w:cs="Times New Roman"/>
          <w:noProof/>
          <w:szCs w:val="24"/>
        </w:rPr>
        <w:t xml:space="preserve"> </w:t>
      </w:r>
      <w:r w:rsidRPr="003B43AB">
        <w:rPr>
          <w:rFonts w:cs="Times New Roman"/>
          <w:noProof/>
          <w:szCs w:val="24"/>
        </w:rPr>
        <w:tab/>
        <w:t>Royal Society of Chemistry. Periodic Table https://www.rsc.org/periodic-table/.</w:t>
      </w:r>
    </w:p>
    <w:p w14:paraId="150839C9" w14:textId="175F5F61" w:rsidR="0033169D" w:rsidRPr="00DB3D98" w:rsidRDefault="0033169D" w:rsidP="003B43AB">
      <w:pPr>
        <w:ind w:hanging="426"/>
        <w:rPr>
          <w:b/>
        </w:rPr>
      </w:pPr>
      <w:r>
        <w:rPr>
          <w:b/>
        </w:rPr>
        <w:fldChar w:fldCharType="end"/>
      </w:r>
    </w:p>
    <w:sectPr w:rsidR="0033169D" w:rsidRPr="00DB3D98" w:rsidSect="000C0FF3">
      <w:footerReference w:type="default" r:id="rId12"/>
      <w:pgSz w:w="11906" w:h="16838"/>
      <w:pgMar w:top="1440" w:right="1440" w:bottom="1440" w:left="1440" w:header="708" w:footer="70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33CD4A7" w16cid:durableId="2357BA6A"/>
  <w16cid:commentId w16cid:paraId="2933FF42" w16cid:durableId="2357BA8E"/>
  <w16cid:commentId w16cid:paraId="30A96855" w16cid:durableId="2357BB4E"/>
  <w16cid:commentId w16cid:paraId="7085FC73" w16cid:durableId="2357BB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48465" w14:textId="77777777" w:rsidR="00DE6B96" w:rsidRDefault="00DE6B96" w:rsidP="000C0FF3">
      <w:r>
        <w:separator/>
      </w:r>
    </w:p>
  </w:endnote>
  <w:endnote w:type="continuationSeparator" w:id="0">
    <w:p w14:paraId="14DA8327" w14:textId="77777777" w:rsidR="00DE6B96" w:rsidRDefault="00DE6B96" w:rsidP="000C0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6669873"/>
      <w:docPartObj>
        <w:docPartGallery w:val="Page Numbers (Bottom of Page)"/>
        <w:docPartUnique/>
      </w:docPartObj>
    </w:sdtPr>
    <w:sdtEndPr/>
    <w:sdtContent>
      <w:p w14:paraId="5367DA84" w14:textId="30720F83" w:rsidR="00C239F1" w:rsidRDefault="00C239F1">
        <w:pPr>
          <w:pStyle w:val="Footer"/>
          <w:jc w:val="right"/>
        </w:pPr>
        <w:r w:rsidRPr="00DD0710">
          <w:rPr>
            <w:rFonts w:cs="Times New Roman"/>
          </w:rPr>
          <w:fldChar w:fldCharType="begin"/>
        </w:r>
        <w:r w:rsidRPr="00DD0710">
          <w:rPr>
            <w:rFonts w:cs="Times New Roman"/>
          </w:rPr>
          <w:instrText xml:space="preserve"> PAGE   \* MERGEFORMAT </w:instrText>
        </w:r>
        <w:r w:rsidRPr="00DD0710">
          <w:rPr>
            <w:rFonts w:cs="Times New Roman"/>
          </w:rPr>
          <w:fldChar w:fldCharType="separate"/>
        </w:r>
        <w:r w:rsidR="0066554C">
          <w:rPr>
            <w:rFonts w:cs="Times New Roman"/>
            <w:noProof/>
          </w:rPr>
          <w:t>6</w:t>
        </w:r>
        <w:r w:rsidRPr="00DD0710">
          <w:rPr>
            <w:rFonts w:cs="Times New Roman"/>
          </w:rPr>
          <w:fldChar w:fldCharType="end"/>
        </w:r>
      </w:p>
    </w:sdtContent>
  </w:sdt>
  <w:p w14:paraId="5236E506" w14:textId="77777777" w:rsidR="00C239F1" w:rsidRDefault="00C239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9DB095" w14:textId="77777777" w:rsidR="00DE6B96" w:rsidRDefault="00DE6B96" w:rsidP="000C0FF3">
      <w:r>
        <w:separator/>
      </w:r>
    </w:p>
  </w:footnote>
  <w:footnote w:type="continuationSeparator" w:id="0">
    <w:p w14:paraId="372235E9" w14:textId="77777777" w:rsidR="00DE6B96" w:rsidRDefault="00DE6B96" w:rsidP="000C0F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C581B"/>
    <w:multiLevelType w:val="hybridMultilevel"/>
    <w:tmpl w:val="899458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4F600A6"/>
    <w:multiLevelType w:val="hybridMultilevel"/>
    <w:tmpl w:val="38EC04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3B83ACF"/>
    <w:multiLevelType w:val="hybridMultilevel"/>
    <w:tmpl w:val="BE0A3590"/>
    <w:lvl w:ilvl="0" w:tplc="CF7C889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7C64825"/>
    <w:multiLevelType w:val="hybridMultilevel"/>
    <w:tmpl w:val="374E1EA0"/>
    <w:lvl w:ilvl="0" w:tplc="6C66FA48">
      <w:start w:val="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E52AB3"/>
    <w:multiLevelType w:val="hybridMultilevel"/>
    <w:tmpl w:val="81E819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B48600A"/>
    <w:multiLevelType w:val="hybridMultilevel"/>
    <w:tmpl w:val="63BED5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DE4730"/>
    <w:multiLevelType w:val="hybridMultilevel"/>
    <w:tmpl w:val="6CD217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EA72538"/>
    <w:multiLevelType w:val="hybridMultilevel"/>
    <w:tmpl w:val="5A48D8A6"/>
    <w:lvl w:ilvl="0" w:tplc="0B62066A">
      <w:start w:val="1"/>
      <w:numFmt w:val="upperLetter"/>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8" w15:restartNumberingAfterBreak="0">
    <w:nsid w:val="3C5370A5"/>
    <w:multiLevelType w:val="hybridMultilevel"/>
    <w:tmpl w:val="91BC677E"/>
    <w:lvl w:ilvl="0" w:tplc="2348E0B8">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C571A4C"/>
    <w:multiLevelType w:val="hybridMultilevel"/>
    <w:tmpl w:val="6D5A7C3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543407CE"/>
    <w:multiLevelType w:val="multilevel"/>
    <w:tmpl w:val="2BE2F0A6"/>
    <w:lvl w:ilvl="0">
      <w:start w:val="1"/>
      <w:numFmt w:val="decimal"/>
      <w:lvlText w:val="%1."/>
      <w:lvlJc w:val="left"/>
      <w:pPr>
        <w:ind w:left="360" w:hanging="360"/>
      </w:pPr>
      <w:rPr>
        <w:rFonts w:hint="default"/>
        <w:sz w:val="22"/>
      </w:rPr>
    </w:lvl>
    <w:lvl w:ilvl="1">
      <w:start w:val="1"/>
      <w:numFmt w:val="decimal"/>
      <w:lvlText w:val="%1.%2."/>
      <w:lvlJc w:val="left"/>
      <w:pPr>
        <w:ind w:left="794" w:hanging="437"/>
      </w:pPr>
      <w:rPr>
        <w:rFonts w:hint="default"/>
      </w:rPr>
    </w:lvl>
    <w:lvl w:ilvl="2">
      <w:start w:val="1"/>
      <w:numFmt w:val="lowerRoman"/>
      <w:lvlText w:val="%3."/>
      <w:lvlJc w:val="left"/>
      <w:pPr>
        <w:tabs>
          <w:tab w:val="num" w:pos="1191"/>
        </w:tabs>
        <w:ind w:left="1361"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9EC43F7"/>
    <w:multiLevelType w:val="hybridMultilevel"/>
    <w:tmpl w:val="18389D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1"/>
  </w:num>
  <w:num w:numId="4">
    <w:abstractNumId w:val="8"/>
  </w:num>
  <w:num w:numId="5">
    <w:abstractNumId w:val="9"/>
  </w:num>
  <w:num w:numId="6">
    <w:abstractNumId w:val="0"/>
  </w:num>
  <w:num w:numId="7">
    <w:abstractNumId w:val="10"/>
  </w:num>
  <w:num w:numId="8">
    <w:abstractNumId w:val="2"/>
  </w:num>
  <w:num w:numId="9">
    <w:abstractNumId w:val="6"/>
  </w:num>
  <w:num w:numId="10">
    <w:abstractNumId w:val="1"/>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ABE"/>
    <w:rsid w:val="00002D01"/>
    <w:rsid w:val="00006283"/>
    <w:rsid w:val="000138AE"/>
    <w:rsid w:val="0001393C"/>
    <w:rsid w:val="0001440B"/>
    <w:rsid w:val="0001499A"/>
    <w:rsid w:val="000178E8"/>
    <w:rsid w:val="0002057B"/>
    <w:rsid w:val="00023CBA"/>
    <w:rsid w:val="000303A8"/>
    <w:rsid w:val="00030EA4"/>
    <w:rsid w:val="00033370"/>
    <w:rsid w:val="000342EF"/>
    <w:rsid w:val="00034FDF"/>
    <w:rsid w:val="00045602"/>
    <w:rsid w:val="00046899"/>
    <w:rsid w:val="00047792"/>
    <w:rsid w:val="00053247"/>
    <w:rsid w:val="0005480C"/>
    <w:rsid w:val="0005593B"/>
    <w:rsid w:val="00056B48"/>
    <w:rsid w:val="00056D33"/>
    <w:rsid w:val="0006003B"/>
    <w:rsid w:val="000604B0"/>
    <w:rsid w:val="00061A84"/>
    <w:rsid w:val="0006570E"/>
    <w:rsid w:val="000701A3"/>
    <w:rsid w:val="00070685"/>
    <w:rsid w:val="000707EA"/>
    <w:rsid w:val="000712FB"/>
    <w:rsid w:val="000735EB"/>
    <w:rsid w:val="00075F0E"/>
    <w:rsid w:val="000761B2"/>
    <w:rsid w:val="0007632F"/>
    <w:rsid w:val="00081A80"/>
    <w:rsid w:val="0008395E"/>
    <w:rsid w:val="00090C2A"/>
    <w:rsid w:val="00092EFB"/>
    <w:rsid w:val="0009546C"/>
    <w:rsid w:val="00095E1F"/>
    <w:rsid w:val="0009724F"/>
    <w:rsid w:val="000A0364"/>
    <w:rsid w:val="000A14F1"/>
    <w:rsid w:val="000A1A23"/>
    <w:rsid w:val="000A2169"/>
    <w:rsid w:val="000A4256"/>
    <w:rsid w:val="000A632A"/>
    <w:rsid w:val="000B1F9C"/>
    <w:rsid w:val="000B2728"/>
    <w:rsid w:val="000B2AB7"/>
    <w:rsid w:val="000B2F7B"/>
    <w:rsid w:val="000B3862"/>
    <w:rsid w:val="000B4542"/>
    <w:rsid w:val="000B49A8"/>
    <w:rsid w:val="000B4BD9"/>
    <w:rsid w:val="000C0FF3"/>
    <w:rsid w:val="000C4C70"/>
    <w:rsid w:val="000C5E7F"/>
    <w:rsid w:val="000D272D"/>
    <w:rsid w:val="000D6DB7"/>
    <w:rsid w:val="000E11D3"/>
    <w:rsid w:val="000E4768"/>
    <w:rsid w:val="000E79B2"/>
    <w:rsid w:val="000F1F38"/>
    <w:rsid w:val="000F2625"/>
    <w:rsid w:val="000F5C56"/>
    <w:rsid w:val="00102717"/>
    <w:rsid w:val="00104F54"/>
    <w:rsid w:val="0010577D"/>
    <w:rsid w:val="00107B4B"/>
    <w:rsid w:val="00111063"/>
    <w:rsid w:val="001119A7"/>
    <w:rsid w:val="00112D69"/>
    <w:rsid w:val="00114293"/>
    <w:rsid w:val="0011493C"/>
    <w:rsid w:val="00115159"/>
    <w:rsid w:val="00116535"/>
    <w:rsid w:val="00117EC1"/>
    <w:rsid w:val="00124E7F"/>
    <w:rsid w:val="001275C5"/>
    <w:rsid w:val="00131279"/>
    <w:rsid w:val="00133B24"/>
    <w:rsid w:val="00135990"/>
    <w:rsid w:val="00137FA1"/>
    <w:rsid w:val="001413DA"/>
    <w:rsid w:val="00142524"/>
    <w:rsid w:val="0014300B"/>
    <w:rsid w:val="0015285C"/>
    <w:rsid w:val="00154BCD"/>
    <w:rsid w:val="00157AC8"/>
    <w:rsid w:val="00160BEC"/>
    <w:rsid w:val="001633B2"/>
    <w:rsid w:val="00163823"/>
    <w:rsid w:val="00165250"/>
    <w:rsid w:val="0016570C"/>
    <w:rsid w:val="00165F5C"/>
    <w:rsid w:val="00170B82"/>
    <w:rsid w:val="00170CAB"/>
    <w:rsid w:val="0017156D"/>
    <w:rsid w:val="0017196C"/>
    <w:rsid w:val="00175B9B"/>
    <w:rsid w:val="00180DC0"/>
    <w:rsid w:val="00181F48"/>
    <w:rsid w:val="001827F3"/>
    <w:rsid w:val="00182A02"/>
    <w:rsid w:val="00183176"/>
    <w:rsid w:val="00183542"/>
    <w:rsid w:val="00184256"/>
    <w:rsid w:val="001843E6"/>
    <w:rsid w:val="00184B6D"/>
    <w:rsid w:val="00184D8F"/>
    <w:rsid w:val="00186030"/>
    <w:rsid w:val="00186BB6"/>
    <w:rsid w:val="00186BE5"/>
    <w:rsid w:val="00195FB8"/>
    <w:rsid w:val="001969FA"/>
    <w:rsid w:val="001A0A7D"/>
    <w:rsid w:val="001A19C7"/>
    <w:rsid w:val="001A34E0"/>
    <w:rsid w:val="001A42A1"/>
    <w:rsid w:val="001A4D26"/>
    <w:rsid w:val="001A4DCC"/>
    <w:rsid w:val="001A5982"/>
    <w:rsid w:val="001A65A0"/>
    <w:rsid w:val="001A68A4"/>
    <w:rsid w:val="001B1620"/>
    <w:rsid w:val="001B35E0"/>
    <w:rsid w:val="001B4E0E"/>
    <w:rsid w:val="001B4F01"/>
    <w:rsid w:val="001B6437"/>
    <w:rsid w:val="001C0F64"/>
    <w:rsid w:val="001C357D"/>
    <w:rsid w:val="001C675D"/>
    <w:rsid w:val="001C6D47"/>
    <w:rsid w:val="001D0DBA"/>
    <w:rsid w:val="001D1527"/>
    <w:rsid w:val="001D32B6"/>
    <w:rsid w:val="001D4E2A"/>
    <w:rsid w:val="001E0563"/>
    <w:rsid w:val="001E3BD7"/>
    <w:rsid w:val="001E42F0"/>
    <w:rsid w:val="001E4E7C"/>
    <w:rsid w:val="001E5F0D"/>
    <w:rsid w:val="001F0B24"/>
    <w:rsid w:val="001F1F1B"/>
    <w:rsid w:val="001F3A38"/>
    <w:rsid w:val="001F4ABE"/>
    <w:rsid w:val="001F55DE"/>
    <w:rsid w:val="001F58CC"/>
    <w:rsid w:val="001F6B42"/>
    <w:rsid w:val="001F7692"/>
    <w:rsid w:val="001F789C"/>
    <w:rsid w:val="00204B9C"/>
    <w:rsid w:val="00206196"/>
    <w:rsid w:val="002063D4"/>
    <w:rsid w:val="00206B83"/>
    <w:rsid w:val="002074A8"/>
    <w:rsid w:val="0020781D"/>
    <w:rsid w:val="00210D63"/>
    <w:rsid w:val="0021214D"/>
    <w:rsid w:val="00212527"/>
    <w:rsid w:val="00212FD0"/>
    <w:rsid w:val="00213145"/>
    <w:rsid w:val="00215434"/>
    <w:rsid w:val="00216ABE"/>
    <w:rsid w:val="00217B4D"/>
    <w:rsid w:val="00225DC3"/>
    <w:rsid w:val="0023023B"/>
    <w:rsid w:val="0023207D"/>
    <w:rsid w:val="00240855"/>
    <w:rsid w:val="00240E78"/>
    <w:rsid w:val="00241C9D"/>
    <w:rsid w:val="002424F3"/>
    <w:rsid w:val="00242583"/>
    <w:rsid w:val="00245882"/>
    <w:rsid w:val="002465F2"/>
    <w:rsid w:val="00247A3D"/>
    <w:rsid w:val="00251B4D"/>
    <w:rsid w:val="0025238C"/>
    <w:rsid w:val="00253BF3"/>
    <w:rsid w:val="00253DBC"/>
    <w:rsid w:val="002557FF"/>
    <w:rsid w:val="002577DA"/>
    <w:rsid w:val="00261788"/>
    <w:rsid w:val="00264F61"/>
    <w:rsid w:val="0026527B"/>
    <w:rsid w:val="00267914"/>
    <w:rsid w:val="0026794A"/>
    <w:rsid w:val="002710AA"/>
    <w:rsid w:val="00272D64"/>
    <w:rsid w:val="0027453D"/>
    <w:rsid w:val="00274ED5"/>
    <w:rsid w:val="00275F48"/>
    <w:rsid w:val="00280B19"/>
    <w:rsid w:val="00291DE9"/>
    <w:rsid w:val="002925F8"/>
    <w:rsid w:val="002931EB"/>
    <w:rsid w:val="00295053"/>
    <w:rsid w:val="00295FB6"/>
    <w:rsid w:val="002A0702"/>
    <w:rsid w:val="002A081F"/>
    <w:rsid w:val="002A0E14"/>
    <w:rsid w:val="002A45E2"/>
    <w:rsid w:val="002A4817"/>
    <w:rsid w:val="002A5536"/>
    <w:rsid w:val="002B6098"/>
    <w:rsid w:val="002B6EBE"/>
    <w:rsid w:val="002B7381"/>
    <w:rsid w:val="002B76A3"/>
    <w:rsid w:val="002B7858"/>
    <w:rsid w:val="002C08C6"/>
    <w:rsid w:val="002C4B56"/>
    <w:rsid w:val="002D02DB"/>
    <w:rsid w:val="002D0478"/>
    <w:rsid w:val="002D105F"/>
    <w:rsid w:val="002D1410"/>
    <w:rsid w:val="002D28D7"/>
    <w:rsid w:val="002D3015"/>
    <w:rsid w:val="002D64C2"/>
    <w:rsid w:val="002E0804"/>
    <w:rsid w:val="002E0A04"/>
    <w:rsid w:val="002E144D"/>
    <w:rsid w:val="002E3D56"/>
    <w:rsid w:val="002E4050"/>
    <w:rsid w:val="002E5A70"/>
    <w:rsid w:val="002E6C02"/>
    <w:rsid w:val="002F0B5D"/>
    <w:rsid w:val="002F0E93"/>
    <w:rsid w:val="002F4B02"/>
    <w:rsid w:val="002F51DA"/>
    <w:rsid w:val="002F522A"/>
    <w:rsid w:val="002F5E8B"/>
    <w:rsid w:val="002F679D"/>
    <w:rsid w:val="002F6DB4"/>
    <w:rsid w:val="002F7E03"/>
    <w:rsid w:val="00303973"/>
    <w:rsid w:val="003048D4"/>
    <w:rsid w:val="00304EDD"/>
    <w:rsid w:val="00306922"/>
    <w:rsid w:val="0031009C"/>
    <w:rsid w:val="00315FA9"/>
    <w:rsid w:val="003208A5"/>
    <w:rsid w:val="00320A22"/>
    <w:rsid w:val="00321E9E"/>
    <w:rsid w:val="00321EE2"/>
    <w:rsid w:val="003224A6"/>
    <w:rsid w:val="00322C90"/>
    <w:rsid w:val="0033169D"/>
    <w:rsid w:val="00334EF7"/>
    <w:rsid w:val="003401E4"/>
    <w:rsid w:val="00340394"/>
    <w:rsid w:val="00343B2F"/>
    <w:rsid w:val="00347526"/>
    <w:rsid w:val="00350799"/>
    <w:rsid w:val="003520D0"/>
    <w:rsid w:val="0036531F"/>
    <w:rsid w:val="00365BA4"/>
    <w:rsid w:val="00366474"/>
    <w:rsid w:val="0036657A"/>
    <w:rsid w:val="0036791A"/>
    <w:rsid w:val="00370D40"/>
    <w:rsid w:val="00371E89"/>
    <w:rsid w:val="003721AA"/>
    <w:rsid w:val="003736CC"/>
    <w:rsid w:val="003759B1"/>
    <w:rsid w:val="00375A52"/>
    <w:rsid w:val="003761E8"/>
    <w:rsid w:val="00377642"/>
    <w:rsid w:val="00380B2D"/>
    <w:rsid w:val="00381407"/>
    <w:rsid w:val="0038232B"/>
    <w:rsid w:val="0038304A"/>
    <w:rsid w:val="0038799E"/>
    <w:rsid w:val="00391A70"/>
    <w:rsid w:val="00392AEF"/>
    <w:rsid w:val="003948EB"/>
    <w:rsid w:val="003949BA"/>
    <w:rsid w:val="0039698C"/>
    <w:rsid w:val="00396EDE"/>
    <w:rsid w:val="00397B72"/>
    <w:rsid w:val="003A0CA1"/>
    <w:rsid w:val="003A52C6"/>
    <w:rsid w:val="003A657D"/>
    <w:rsid w:val="003B04AE"/>
    <w:rsid w:val="003B0615"/>
    <w:rsid w:val="003B10C2"/>
    <w:rsid w:val="003B11AC"/>
    <w:rsid w:val="003B179C"/>
    <w:rsid w:val="003B43AB"/>
    <w:rsid w:val="003B7092"/>
    <w:rsid w:val="003D0EE4"/>
    <w:rsid w:val="003D1903"/>
    <w:rsid w:val="003D1B63"/>
    <w:rsid w:val="003D24B8"/>
    <w:rsid w:val="003D30C0"/>
    <w:rsid w:val="003D3865"/>
    <w:rsid w:val="003D410B"/>
    <w:rsid w:val="003D541F"/>
    <w:rsid w:val="003D661D"/>
    <w:rsid w:val="003E042A"/>
    <w:rsid w:val="003E14D3"/>
    <w:rsid w:val="003E2B3B"/>
    <w:rsid w:val="003E61D5"/>
    <w:rsid w:val="003F1694"/>
    <w:rsid w:val="003F1D6C"/>
    <w:rsid w:val="003F460A"/>
    <w:rsid w:val="003F4A91"/>
    <w:rsid w:val="003F76C2"/>
    <w:rsid w:val="00401668"/>
    <w:rsid w:val="0040176C"/>
    <w:rsid w:val="004027B0"/>
    <w:rsid w:val="004052C6"/>
    <w:rsid w:val="00406D5A"/>
    <w:rsid w:val="00410918"/>
    <w:rsid w:val="004113F5"/>
    <w:rsid w:val="00412028"/>
    <w:rsid w:val="00414326"/>
    <w:rsid w:val="00417376"/>
    <w:rsid w:val="0042425D"/>
    <w:rsid w:val="004242D5"/>
    <w:rsid w:val="004310C0"/>
    <w:rsid w:val="00433210"/>
    <w:rsid w:val="00434C61"/>
    <w:rsid w:val="004357A5"/>
    <w:rsid w:val="004361D8"/>
    <w:rsid w:val="00437F90"/>
    <w:rsid w:val="00441AA3"/>
    <w:rsid w:val="00443EB2"/>
    <w:rsid w:val="004449D0"/>
    <w:rsid w:val="00444C50"/>
    <w:rsid w:val="0044576D"/>
    <w:rsid w:val="00446B2C"/>
    <w:rsid w:val="00447542"/>
    <w:rsid w:val="00450E6B"/>
    <w:rsid w:val="004510A1"/>
    <w:rsid w:val="004515A6"/>
    <w:rsid w:val="004538D6"/>
    <w:rsid w:val="00453E3D"/>
    <w:rsid w:val="00456658"/>
    <w:rsid w:val="00456B46"/>
    <w:rsid w:val="00457FB5"/>
    <w:rsid w:val="00461FEB"/>
    <w:rsid w:val="00462B91"/>
    <w:rsid w:val="00462F00"/>
    <w:rsid w:val="004630E0"/>
    <w:rsid w:val="00463233"/>
    <w:rsid w:val="004640BD"/>
    <w:rsid w:val="00466260"/>
    <w:rsid w:val="00476D2C"/>
    <w:rsid w:val="00482E08"/>
    <w:rsid w:val="0048482D"/>
    <w:rsid w:val="0048517F"/>
    <w:rsid w:val="00486352"/>
    <w:rsid w:val="004875CD"/>
    <w:rsid w:val="00490E9A"/>
    <w:rsid w:val="00491178"/>
    <w:rsid w:val="00491828"/>
    <w:rsid w:val="00492177"/>
    <w:rsid w:val="00492375"/>
    <w:rsid w:val="00492CA2"/>
    <w:rsid w:val="004945BE"/>
    <w:rsid w:val="00495060"/>
    <w:rsid w:val="00496022"/>
    <w:rsid w:val="004A1384"/>
    <w:rsid w:val="004A21DD"/>
    <w:rsid w:val="004A3C37"/>
    <w:rsid w:val="004A4646"/>
    <w:rsid w:val="004A4F65"/>
    <w:rsid w:val="004A705C"/>
    <w:rsid w:val="004B4666"/>
    <w:rsid w:val="004B4B60"/>
    <w:rsid w:val="004B4F7C"/>
    <w:rsid w:val="004B5428"/>
    <w:rsid w:val="004B5736"/>
    <w:rsid w:val="004C1705"/>
    <w:rsid w:val="004D33F6"/>
    <w:rsid w:val="004D3549"/>
    <w:rsid w:val="004D3631"/>
    <w:rsid w:val="004E276F"/>
    <w:rsid w:val="004E373E"/>
    <w:rsid w:val="004E7724"/>
    <w:rsid w:val="004F145F"/>
    <w:rsid w:val="004F2BD7"/>
    <w:rsid w:val="004F3BDC"/>
    <w:rsid w:val="004F3F2E"/>
    <w:rsid w:val="004F47AA"/>
    <w:rsid w:val="004F4DCB"/>
    <w:rsid w:val="004F5F8D"/>
    <w:rsid w:val="004F5FD1"/>
    <w:rsid w:val="004F624C"/>
    <w:rsid w:val="004F7FBC"/>
    <w:rsid w:val="00503CAB"/>
    <w:rsid w:val="00505044"/>
    <w:rsid w:val="0050610A"/>
    <w:rsid w:val="00506986"/>
    <w:rsid w:val="00510951"/>
    <w:rsid w:val="005121BE"/>
    <w:rsid w:val="00512925"/>
    <w:rsid w:val="00512DF0"/>
    <w:rsid w:val="005131B6"/>
    <w:rsid w:val="00513D94"/>
    <w:rsid w:val="005162D8"/>
    <w:rsid w:val="005178BD"/>
    <w:rsid w:val="005202C0"/>
    <w:rsid w:val="005233D0"/>
    <w:rsid w:val="005234E4"/>
    <w:rsid w:val="00525329"/>
    <w:rsid w:val="00525C75"/>
    <w:rsid w:val="005262AE"/>
    <w:rsid w:val="005267B1"/>
    <w:rsid w:val="005278C8"/>
    <w:rsid w:val="00534D63"/>
    <w:rsid w:val="00541337"/>
    <w:rsid w:val="0054193C"/>
    <w:rsid w:val="00542DDE"/>
    <w:rsid w:val="005442FF"/>
    <w:rsid w:val="005443BE"/>
    <w:rsid w:val="00545D96"/>
    <w:rsid w:val="005460E4"/>
    <w:rsid w:val="00546963"/>
    <w:rsid w:val="0054783D"/>
    <w:rsid w:val="00551616"/>
    <w:rsid w:val="00551A3A"/>
    <w:rsid w:val="00551EF9"/>
    <w:rsid w:val="00551FA5"/>
    <w:rsid w:val="005606CF"/>
    <w:rsid w:val="00560932"/>
    <w:rsid w:val="00567CE0"/>
    <w:rsid w:val="00573CC0"/>
    <w:rsid w:val="00575C6A"/>
    <w:rsid w:val="00576568"/>
    <w:rsid w:val="00576FD2"/>
    <w:rsid w:val="0058417E"/>
    <w:rsid w:val="00584983"/>
    <w:rsid w:val="00585C2B"/>
    <w:rsid w:val="00587AA1"/>
    <w:rsid w:val="00587ABA"/>
    <w:rsid w:val="00587C0C"/>
    <w:rsid w:val="00590149"/>
    <w:rsid w:val="005917CF"/>
    <w:rsid w:val="005928AB"/>
    <w:rsid w:val="00592CD8"/>
    <w:rsid w:val="00594792"/>
    <w:rsid w:val="005A17F9"/>
    <w:rsid w:val="005A1962"/>
    <w:rsid w:val="005A1F21"/>
    <w:rsid w:val="005A26C8"/>
    <w:rsid w:val="005A3EC8"/>
    <w:rsid w:val="005A6915"/>
    <w:rsid w:val="005A7AFC"/>
    <w:rsid w:val="005B0EEB"/>
    <w:rsid w:val="005B1435"/>
    <w:rsid w:val="005B27E5"/>
    <w:rsid w:val="005B51BA"/>
    <w:rsid w:val="005B7202"/>
    <w:rsid w:val="005C23FA"/>
    <w:rsid w:val="005C3623"/>
    <w:rsid w:val="005C38D1"/>
    <w:rsid w:val="005C3E62"/>
    <w:rsid w:val="005C505E"/>
    <w:rsid w:val="005C7A5D"/>
    <w:rsid w:val="005D046F"/>
    <w:rsid w:val="005D117D"/>
    <w:rsid w:val="005D1FB6"/>
    <w:rsid w:val="005D2196"/>
    <w:rsid w:val="005D23DC"/>
    <w:rsid w:val="005D348C"/>
    <w:rsid w:val="005D45A4"/>
    <w:rsid w:val="005D616E"/>
    <w:rsid w:val="005D7F40"/>
    <w:rsid w:val="005E1F31"/>
    <w:rsid w:val="005E33F4"/>
    <w:rsid w:val="005E492D"/>
    <w:rsid w:val="005F2A7F"/>
    <w:rsid w:val="005F2DBC"/>
    <w:rsid w:val="005F657B"/>
    <w:rsid w:val="005F6861"/>
    <w:rsid w:val="006001CE"/>
    <w:rsid w:val="00602620"/>
    <w:rsid w:val="00603796"/>
    <w:rsid w:val="006148B4"/>
    <w:rsid w:val="00615592"/>
    <w:rsid w:val="00615FF1"/>
    <w:rsid w:val="00620129"/>
    <w:rsid w:val="006219CC"/>
    <w:rsid w:val="00623618"/>
    <w:rsid w:val="00623AF1"/>
    <w:rsid w:val="00624F25"/>
    <w:rsid w:val="00625FC8"/>
    <w:rsid w:val="00627B54"/>
    <w:rsid w:val="00630351"/>
    <w:rsid w:val="00631449"/>
    <w:rsid w:val="00631B83"/>
    <w:rsid w:val="00631D0A"/>
    <w:rsid w:val="00633036"/>
    <w:rsid w:val="006337FC"/>
    <w:rsid w:val="00633AB1"/>
    <w:rsid w:val="00636F1A"/>
    <w:rsid w:val="00640AB3"/>
    <w:rsid w:val="00643C3B"/>
    <w:rsid w:val="00643D17"/>
    <w:rsid w:val="006463A7"/>
    <w:rsid w:val="006476D9"/>
    <w:rsid w:val="0065008D"/>
    <w:rsid w:val="006503FD"/>
    <w:rsid w:val="00650427"/>
    <w:rsid w:val="006511AA"/>
    <w:rsid w:val="0065277D"/>
    <w:rsid w:val="00653AF2"/>
    <w:rsid w:val="00657BBA"/>
    <w:rsid w:val="00660AB7"/>
    <w:rsid w:val="00661C37"/>
    <w:rsid w:val="00662207"/>
    <w:rsid w:val="006625C6"/>
    <w:rsid w:val="006627CB"/>
    <w:rsid w:val="00663007"/>
    <w:rsid w:val="0066554C"/>
    <w:rsid w:val="00665FFF"/>
    <w:rsid w:val="00666517"/>
    <w:rsid w:val="006670EC"/>
    <w:rsid w:val="00674F67"/>
    <w:rsid w:val="00682C15"/>
    <w:rsid w:val="00683390"/>
    <w:rsid w:val="006860C8"/>
    <w:rsid w:val="00686306"/>
    <w:rsid w:val="00686DE0"/>
    <w:rsid w:val="0068799A"/>
    <w:rsid w:val="00687DDA"/>
    <w:rsid w:val="006927E5"/>
    <w:rsid w:val="00692830"/>
    <w:rsid w:val="0069427B"/>
    <w:rsid w:val="00694EE4"/>
    <w:rsid w:val="00696E5B"/>
    <w:rsid w:val="00697DF3"/>
    <w:rsid w:val="006A1D96"/>
    <w:rsid w:val="006A22BF"/>
    <w:rsid w:val="006A2DDD"/>
    <w:rsid w:val="006A5107"/>
    <w:rsid w:val="006A5C22"/>
    <w:rsid w:val="006A5C65"/>
    <w:rsid w:val="006A7625"/>
    <w:rsid w:val="006A7C50"/>
    <w:rsid w:val="006B01F0"/>
    <w:rsid w:val="006B0910"/>
    <w:rsid w:val="006B6EFA"/>
    <w:rsid w:val="006B73DE"/>
    <w:rsid w:val="006B7B92"/>
    <w:rsid w:val="006C06CC"/>
    <w:rsid w:val="006C1E3E"/>
    <w:rsid w:val="006C4C14"/>
    <w:rsid w:val="006C7B57"/>
    <w:rsid w:val="006C7BA7"/>
    <w:rsid w:val="006D181C"/>
    <w:rsid w:val="006D31CD"/>
    <w:rsid w:val="006D4C5E"/>
    <w:rsid w:val="006D5D9D"/>
    <w:rsid w:val="006D6FD0"/>
    <w:rsid w:val="006E177A"/>
    <w:rsid w:val="006E3020"/>
    <w:rsid w:val="006E3A92"/>
    <w:rsid w:val="006E51CC"/>
    <w:rsid w:val="006E61AA"/>
    <w:rsid w:val="007010A5"/>
    <w:rsid w:val="0070192C"/>
    <w:rsid w:val="0070402F"/>
    <w:rsid w:val="00704661"/>
    <w:rsid w:val="00705367"/>
    <w:rsid w:val="00705E05"/>
    <w:rsid w:val="00706B55"/>
    <w:rsid w:val="0070751E"/>
    <w:rsid w:val="00710B86"/>
    <w:rsid w:val="00713CB6"/>
    <w:rsid w:val="00715E7D"/>
    <w:rsid w:val="00715EE2"/>
    <w:rsid w:val="00716219"/>
    <w:rsid w:val="007169BE"/>
    <w:rsid w:val="00716C80"/>
    <w:rsid w:val="00716ED6"/>
    <w:rsid w:val="00717647"/>
    <w:rsid w:val="007205D7"/>
    <w:rsid w:val="00722925"/>
    <w:rsid w:val="0072393B"/>
    <w:rsid w:val="007239F7"/>
    <w:rsid w:val="007256BF"/>
    <w:rsid w:val="00726389"/>
    <w:rsid w:val="00726A7D"/>
    <w:rsid w:val="007336B4"/>
    <w:rsid w:val="00733EB4"/>
    <w:rsid w:val="00734328"/>
    <w:rsid w:val="0073593E"/>
    <w:rsid w:val="0073687A"/>
    <w:rsid w:val="007417C7"/>
    <w:rsid w:val="00743957"/>
    <w:rsid w:val="0074653E"/>
    <w:rsid w:val="00746B4D"/>
    <w:rsid w:val="007559C4"/>
    <w:rsid w:val="00755BCE"/>
    <w:rsid w:val="00760C9C"/>
    <w:rsid w:val="00765E05"/>
    <w:rsid w:val="00767FD1"/>
    <w:rsid w:val="00771AB3"/>
    <w:rsid w:val="00776B06"/>
    <w:rsid w:val="00777376"/>
    <w:rsid w:val="007809DE"/>
    <w:rsid w:val="00783585"/>
    <w:rsid w:val="0078517E"/>
    <w:rsid w:val="0079628E"/>
    <w:rsid w:val="00796AD8"/>
    <w:rsid w:val="00796BAD"/>
    <w:rsid w:val="0079704F"/>
    <w:rsid w:val="00797760"/>
    <w:rsid w:val="007A0B99"/>
    <w:rsid w:val="007A0C3A"/>
    <w:rsid w:val="007A1418"/>
    <w:rsid w:val="007A7118"/>
    <w:rsid w:val="007A73D6"/>
    <w:rsid w:val="007A7FCF"/>
    <w:rsid w:val="007B0430"/>
    <w:rsid w:val="007B04B9"/>
    <w:rsid w:val="007B0BAC"/>
    <w:rsid w:val="007B4D85"/>
    <w:rsid w:val="007B5491"/>
    <w:rsid w:val="007B5F7D"/>
    <w:rsid w:val="007C2DEE"/>
    <w:rsid w:val="007C2EE9"/>
    <w:rsid w:val="007C5EEA"/>
    <w:rsid w:val="007C6C9A"/>
    <w:rsid w:val="007D0DDA"/>
    <w:rsid w:val="007D2B66"/>
    <w:rsid w:val="007D32DD"/>
    <w:rsid w:val="007D46FC"/>
    <w:rsid w:val="007D6198"/>
    <w:rsid w:val="007D7574"/>
    <w:rsid w:val="007D7764"/>
    <w:rsid w:val="007E3893"/>
    <w:rsid w:val="007E59D1"/>
    <w:rsid w:val="007E6177"/>
    <w:rsid w:val="007E6AD5"/>
    <w:rsid w:val="007F00E8"/>
    <w:rsid w:val="007F16BF"/>
    <w:rsid w:val="007F4A1D"/>
    <w:rsid w:val="007F6824"/>
    <w:rsid w:val="007F6A1C"/>
    <w:rsid w:val="008031DA"/>
    <w:rsid w:val="00803CAF"/>
    <w:rsid w:val="00805812"/>
    <w:rsid w:val="00806BE2"/>
    <w:rsid w:val="008100A8"/>
    <w:rsid w:val="008106D6"/>
    <w:rsid w:val="008126CB"/>
    <w:rsid w:val="008167C0"/>
    <w:rsid w:val="0082008A"/>
    <w:rsid w:val="008272A0"/>
    <w:rsid w:val="00832E77"/>
    <w:rsid w:val="00833135"/>
    <w:rsid w:val="00837495"/>
    <w:rsid w:val="0083765E"/>
    <w:rsid w:val="00841AC5"/>
    <w:rsid w:val="00842815"/>
    <w:rsid w:val="00842B1D"/>
    <w:rsid w:val="00843778"/>
    <w:rsid w:val="00843B31"/>
    <w:rsid w:val="00843C45"/>
    <w:rsid w:val="00843E40"/>
    <w:rsid w:val="00844CF4"/>
    <w:rsid w:val="00845FAF"/>
    <w:rsid w:val="00846300"/>
    <w:rsid w:val="00846AAB"/>
    <w:rsid w:val="00846B63"/>
    <w:rsid w:val="008472CC"/>
    <w:rsid w:val="00847AB0"/>
    <w:rsid w:val="00851252"/>
    <w:rsid w:val="00852BA8"/>
    <w:rsid w:val="00853703"/>
    <w:rsid w:val="00854B67"/>
    <w:rsid w:val="00855685"/>
    <w:rsid w:val="00860FD2"/>
    <w:rsid w:val="008628ED"/>
    <w:rsid w:val="00862945"/>
    <w:rsid w:val="008630D9"/>
    <w:rsid w:val="00863C42"/>
    <w:rsid w:val="008641CC"/>
    <w:rsid w:val="0086488E"/>
    <w:rsid w:val="00865355"/>
    <w:rsid w:val="008659F5"/>
    <w:rsid w:val="0086722A"/>
    <w:rsid w:val="00871557"/>
    <w:rsid w:val="00871DF1"/>
    <w:rsid w:val="0087276E"/>
    <w:rsid w:val="00873BD3"/>
    <w:rsid w:val="00875CB7"/>
    <w:rsid w:val="008814F2"/>
    <w:rsid w:val="0088232D"/>
    <w:rsid w:val="0089041E"/>
    <w:rsid w:val="00891396"/>
    <w:rsid w:val="00896A60"/>
    <w:rsid w:val="00897988"/>
    <w:rsid w:val="008A0B8B"/>
    <w:rsid w:val="008A1722"/>
    <w:rsid w:val="008A27DD"/>
    <w:rsid w:val="008A29B7"/>
    <w:rsid w:val="008A2B98"/>
    <w:rsid w:val="008A468B"/>
    <w:rsid w:val="008A54B5"/>
    <w:rsid w:val="008A6DE8"/>
    <w:rsid w:val="008B1E4A"/>
    <w:rsid w:val="008B4A97"/>
    <w:rsid w:val="008B4B07"/>
    <w:rsid w:val="008C3113"/>
    <w:rsid w:val="008C482B"/>
    <w:rsid w:val="008C67A6"/>
    <w:rsid w:val="008D16CA"/>
    <w:rsid w:val="008D35F7"/>
    <w:rsid w:val="008D4C73"/>
    <w:rsid w:val="008D66A7"/>
    <w:rsid w:val="008E0A06"/>
    <w:rsid w:val="008E0B8E"/>
    <w:rsid w:val="008E123F"/>
    <w:rsid w:val="008E1F45"/>
    <w:rsid w:val="008E7227"/>
    <w:rsid w:val="008F1BA5"/>
    <w:rsid w:val="008F2EEB"/>
    <w:rsid w:val="008F679A"/>
    <w:rsid w:val="008F7BC7"/>
    <w:rsid w:val="008F7BE1"/>
    <w:rsid w:val="00900166"/>
    <w:rsid w:val="009021B5"/>
    <w:rsid w:val="009038BA"/>
    <w:rsid w:val="00910A40"/>
    <w:rsid w:val="00914906"/>
    <w:rsid w:val="00915EAE"/>
    <w:rsid w:val="00916332"/>
    <w:rsid w:val="00922F51"/>
    <w:rsid w:val="009239EF"/>
    <w:rsid w:val="00923CF3"/>
    <w:rsid w:val="0092563D"/>
    <w:rsid w:val="009270FA"/>
    <w:rsid w:val="00927410"/>
    <w:rsid w:val="009352AE"/>
    <w:rsid w:val="00935BD7"/>
    <w:rsid w:val="00936D6B"/>
    <w:rsid w:val="00940A46"/>
    <w:rsid w:val="009412C6"/>
    <w:rsid w:val="009418E9"/>
    <w:rsid w:val="00941E08"/>
    <w:rsid w:val="00942709"/>
    <w:rsid w:val="00942A1B"/>
    <w:rsid w:val="009437E0"/>
    <w:rsid w:val="009458C9"/>
    <w:rsid w:val="00946EE1"/>
    <w:rsid w:val="00947F3E"/>
    <w:rsid w:val="009507C9"/>
    <w:rsid w:val="009521FC"/>
    <w:rsid w:val="0095324F"/>
    <w:rsid w:val="00954E3D"/>
    <w:rsid w:val="00955ADA"/>
    <w:rsid w:val="00955C15"/>
    <w:rsid w:val="009561C4"/>
    <w:rsid w:val="00960FD0"/>
    <w:rsid w:val="00965809"/>
    <w:rsid w:val="009704AB"/>
    <w:rsid w:val="009704D0"/>
    <w:rsid w:val="00970AD4"/>
    <w:rsid w:val="00973214"/>
    <w:rsid w:val="00973251"/>
    <w:rsid w:val="00973FA3"/>
    <w:rsid w:val="0097432D"/>
    <w:rsid w:val="00975079"/>
    <w:rsid w:val="00977BFF"/>
    <w:rsid w:val="00977D74"/>
    <w:rsid w:val="00980074"/>
    <w:rsid w:val="00980C6E"/>
    <w:rsid w:val="00980EB3"/>
    <w:rsid w:val="009814C6"/>
    <w:rsid w:val="00982B11"/>
    <w:rsid w:val="00982B36"/>
    <w:rsid w:val="009847DD"/>
    <w:rsid w:val="00985965"/>
    <w:rsid w:val="00990148"/>
    <w:rsid w:val="009907DA"/>
    <w:rsid w:val="0099306F"/>
    <w:rsid w:val="009944C9"/>
    <w:rsid w:val="00994A02"/>
    <w:rsid w:val="00995073"/>
    <w:rsid w:val="009A0B45"/>
    <w:rsid w:val="009A23BF"/>
    <w:rsid w:val="009A4FCB"/>
    <w:rsid w:val="009B085C"/>
    <w:rsid w:val="009B11C5"/>
    <w:rsid w:val="009B1994"/>
    <w:rsid w:val="009B1EA6"/>
    <w:rsid w:val="009B2251"/>
    <w:rsid w:val="009B31CF"/>
    <w:rsid w:val="009B38BD"/>
    <w:rsid w:val="009B436B"/>
    <w:rsid w:val="009B7A56"/>
    <w:rsid w:val="009C0BD8"/>
    <w:rsid w:val="009C0C43"/>
    <w:rsid w:val="009C26D4"/>
    <w:rsid w:val="009C3614"/>
    <w:rsid w:val="009C5FDF"/>
    <w:rsid w:val="009D0162"/>
    <w:rsid w:val="009D0DA8"/>
    <w:rsid w:val="009D1362"/>
    <w:rsid w:val="009D38A8"/>
    <w:rsid w:val="009D3CA9"/>
    <w:rsid w:val="009D6D87"/>
    <w:rsid w:val="009D7024"/>
    <w:rsid w:val="009D736C"/>
    <w:rsid w:val="009D7DAD"/>
    <w:rsid w:val="009E0286"/>
    <w:rsid w:val="009E0763"/>
    <w:rsid w:val="009E1D85"/>
    <w:rsid w:val="009E2820"/>
    <w:rsid w:val="009E566A"/>
    <w:rsid w:val="009E6A2B"/>
    <w:rsid w:val="009F0A89"/>
    <w:rsid w:val="009F1043"/>
    <w:rsid w:val="009F1509"/>
    <w:rsid w:val="009F238A"/>
    <w:rsid w:val="009F341D"/>
    <w:rsid w:val="009F4EBB"/>
    <w:rsid w:val="009F5EA4"/>
    <w:rsid w:val="009F764C"/>
    <w:rsid w:val="00A0074B"/>
    <w:rsid w:val="00A00845"/>
    <w:rsid w:val="00A00998"/>
    <w:rsid w:val="00A026A8"/>
    <w:rsid w:val="00A028E4"/>
    <w:rsid w:val="00A03645"/>
    <w:rsid w:val="00A03EAD"/>
    <w:rsid w:val="00A052FF"/>
    <w:rsid w:val="00A059F7"/>
    <w:rsid w:val="00A06A2A"/>
    <w:rsid w:val="00A07AD1"/>
    <w:rsid w:val="00A12980"/>
    <w:rsid w:val="00A14136"/>
    <w:rsid w:val="00A15F24"/>
    <w:rsid w:val="00A20292"/>
    <w:rsid w:val="00A21206"/>
    <w:rsid w:val="00A21493"/>
    <w:rsid w:val="00A228F2"/>
    <w:rsid w:val="00A22A52"/>
    <w:rsid w:val="00A23024"/>
    <w:rsid w:val="00A23565"/>
    <w:rsid w:val="00A25AF2"/>
    <w:rsid w:val="00A262A6"/>
    <w:rsid w:val="00A3320F"/>
    <w:rsid w:val="00A34816"/>
    <w:rsid w:val="00A422BC"/>
    <w:rsid w:val="00A43D2B"/>
    <w:rsid w:val="00A458C4"/>
    <w:rsid w:val="00A463C0"/>
    <w:rsid w:val="00A47556"/>
    <w:rsid w:val="00A544B1"/>
    <w:rsid w:val="00A552CB"/>
    <w:rsid w:val="00A56A85"/>
    <w:rsid w:val="00A577EA"/>
    <w:rsid w:val="00A57A0A"/>
    <w:rsid w:val="00A57F87"/>
    <w:rsid w:val="00A604F1"/>
    <w:rsid w:val="00A610AB"/>
    <w:rsid w:val="00A61DC5"/>
    <w:rsid w:val="00A62EF1"/>
    <w:rsid w:val="00A64041"/>
    <w:rsid w:val="00A655C2"/>
    <w:rsid w:val="00A664EE"/>
    <w:rsid w:val="00A67D92"/>
    <w:rsid w:val="00A71CD9"/>
    <w:rsid w:val="00A728C7"/>
    <w:rsid w:val="00A7596C"/>
    <w:rsid w:val="00A773B8"/>
    <w:rsid w:val="00A82696"/>
    <w:rsid w:val="00A8346C"/>
    <w:rsid w:val="00A8508D"/>
    <w:rsid w:val="00A86B10"/>
    <w:rsid w:val="00A86F42"/>
    <w:rsid w:val="00A87E21"/>
    <w:rsid w:val="00A91DB6"/>
    <w:rsid w:val="00A93343"/>
    <w:rsid w:val="00A93F15"/>
    <w:rsid w:val="00A969C7"/>
    <w:rsid w:val="00A97C99"/>
    <w:rsid w:val="00AA02ED"/>
    <w:rsid w:val="00AA449C"/>
    <w:rsid w:val="00AA4903"/>
    <w:rsid w:val="00AA7535"/>
    <w:rsid w:val="00AA7D69"/>
    <w:rsid w:val="00AB1838"/>
    <w:rsid w:val="00AB27BD"/>
    <w:rsid w:val="00AB4136"/>
    <w:rsid w:val="00AC7273"/>
    <w:rsid w:val="00AC794D"/>
    <w:rsid w:val="00AD04BA"/>
    <w:rsid w:val="00AD1ABD"/>
    <w:rsid w:val="00AD2DAF"/>
    <w:rsid w:val="00AD3A80"/>
    <w:rsid w:val="00AD4393"/>
    <w:rsid w:val="00AD662D"/>
    <w:rsid w:val="00AD695B"/>
    <w:rsid w:val="00AE0126"/>
    <w:rsid w:val="00AE0A69"/>
    <w:rsid w:val="00AE5156"/>
    <w:rsid w:val="00AE60C8"/>
    <w:rsid w:val="00AE61C4"/>
    <w:rsid w:val="00AF3912"/>
    <w:rsid w:val="00AF4530"/>
    <w:rsid w:val="00B0166E"/>
    <w:rsid w:val="00B048CC"/>
    <w:rsid w:val="00B05186"/>
    <w:rsid w:val="00B06096"/>
    <w:rsid w:val="00B15BC0"/>
    <w:rsid w:val="00B15F81"/>
    <w:rsid w:val="00B1715C"/>
    <w:rsid w:val="00B239A4"/>
    <w:rsid w:val="00B239CD"/>
    <w:rsid w:val="00B25287"/>
    <w:rsid w:val="00B2709A"/>
    <w:rsid w:val="00B2784B"/>
    <w:rsid w:val="00B31124"/>
    <w:rsid w:val="00B33079"/>
    <w:rsid w:val="00B342B6"/>
    <w:rsid w:val="00B36350"/>
    <w:rsid w:val="00B40A8E"/>
    <w:rsid w:val="00B4406B"/>
    <w:rsid w:val="00B51123"/>
    <w:rsid w:val="00B51B8B"/>
    <w:rsid w:val="00B53493"/>
    <w:rsid w:val="00B53B74"/>
    <w:rsid w:val="00B547B5"/>
    <w:rsid w:val="00B568E3"/>
    <w:rsid w:val="00B57911"/>
    <w:rsid w:val="00B600F4"/>
    <w:rsid w:val="00B60EF8"/>
    <w:rsid w:val="00B6534F"/>
    <w:rsid w:val="00B65A5D"/>
    <w:rsid w:val="00B67451"/>
    <w:rsid w:val="00B67542"/>
    <w:rsid w:val="00B67AFD"/>
    <w:rsid w:val="00B67B68"/>
    <w:rsid w:val="00B735DA"/>
    <w:rsid w:val="00B74681"/>
    <w:rsid w:val="00B756CB"/>
    <w:rsid w:val="00B756D4"/>
    <w:rsid w:val="00B75EFD"/>
    <w:rsid w:val="00B76955"/>
    <w:rsid w:val="00B80420"/>
    <w:rsid w:val="00B826D3"/>
    <w:rsid w:val="00B827C0"/>
    <w:rsid w:val="00B8364D"/>
    <w:rsid w:val="00B84A9B"/>
    <w:rsid w:val="00B8506D"/>
    <w:rsid w:val="00B85C64"/>
    <w:rsid w:val="00B87806"/>
    <w:rsid w:val="00B90988"/>
    <w:rsid w:val="00B925EB"/>
    <w:rsid w:val="00B933FF"/>
    <w:rsid w:val="00B941AB"/>
    <w:rsid w:val="00B94E04"/>
    <w:rsid w:val="00B96244"/>
    <w:rsid w:val="00B9735D"/>
    <w:rsid w:val="00BA1765"/>
    <w:rsid w:val="00BA555D"/>
    <w:rsid w:val="00BA5B37"/>
    <w:rsid w:val="00BA641D"/>
    <w:rsid w:val="00BA7E7A"/>
    <w:rsid w:val="00BB204B"/>
    <w:rsid w:val="00BB2B37"/>
    <w:rsid w:val="00BB3B92"/>
    <w:rsid w:val="00BB4ACC"/>
    <w:rsid w:val="00BB50CE"/>
    <w:rsid w:val="00BB5897"/>
    <w:rsid w:val="00BC4324"/>
    <w:rsid w:val="00BC4FFC"/>
    <w:rsid w:val="00BC592E"/>
    <w:rsid w:val="00BC7DE8"/>
    <w:rsid w:val="00BD2A80"/>
    <w:rsid w:val="00BD2F53"/>
    <w:rsid w:val="00BD39FD"/>
    <w:rsid w:val="00BD4FD0"/>
    <w:rsid w:val="00BD5492"/>
    <w:rsid w:val="00BD5BBD"/>
    <w:rsid w:val="00BD62A6"/>
    <w:rsid w:val="00BD70C7"/>
    <w:rsid w:val="00BE04E7"/>
    <w:rsid w:val="00BE0EAC"/>
    <w:rsid w:val="00BE1836"/>
    <w:rsid w:val="00BE24F7"/>
    <w:rsid w:val="00BE353E"/>
    <w:rsid w:val="00BE4A30"/>
    <w:rsid w:val="00BF1F1B"/>
    <w:rsid w:val="00BF3E11"/>
    <w:rsid w:val="00BF438B"/>
    <w:rsid w:val="00BF5441"/>
    <w:rsid w:val="00BF6B66"/>
    <w:rsid w:val="00C00028"/>
    <w:rsid w:val="00C00A4E"/>
    <w:rsid w:val="00C00E6E"/>
    <w:rsid w:val="00C00FC5"/>
    <w:rsid w:val="00C02943"/>
    <w:rsid w:val="00C02D45"/>
    <w:rsid w:val="00C038C1"/>
    <w:rsid w:val="00C063FD"/>
    <w:rsid w:val="00C065D7"/>
    <w:rsid w:val="00C06CE8"/>
    <w:rsid w:val="00C072CD"/>
    <w:rsid w:val="00C07448"/>
    <w:rsid w:val="00C10E03"/>
    <w:rsid w:val="00C116DF"/>
    <w:rsid w:val="00C120EC"/>
    <w:rsid w:val="00C15F92"/>
    <w:rsid w:val="00C16078"/>
    <w:rsid w:val="00C1756F"/>
    <w:rsid w:val="00C21DB7"/>
    <w:rsid w:val="00C229D5"/>
    <w:rsid w:val="00C22E06"/>
    <w:rsid w:val="00C239F1"/>
    <w:rsid w:val="00C2547A"/>
    <w:rsid w:val="00C2612C"/>
    <w:rsid w:val="00C2701A"/>
    <w:rsid w:val="00C271A1"/>
    <w:rsid w:val="00C32110"/>
    <w:rsid w:val="00C32533"/>
    <w:rsid w:val="00C34448"/>
    <w:rsid w:val="00C3675F"/>
    <w:rsid w:val="00C379CD"/>
    <w:rsid w:val="00C37B47"/>
    <w:rsid w:val="00C41A7B"/>
    <w:rsid w:val="00C41BEE"/>
    <w:rsid w:val="00C43EFE"/>
    <w:rsid w:val="00C44F84"/>
    <w:rsid w:val="00C44F89"/>
    <w:rsid w:val="00C5204B"/>
    <w:rsid w:val="00C5323A"/>
    <w:rsid w:val="00C5438F"/>
    <w:rsid w:val="00C5488A"/>
    <w:rsid w:val="00C54D27"/>
    <w:rsid w:val="00C54F25"/>
    <w:rsid w:val="00C55B0E"/>
    <w:rsid w:val="00C55F31"/>
    <w:rsid w:val="00C55F4F"/>
    <w:rsid w:val="00C60451"/>
    <w:rsid w:val="00C61C7B"/>
    <w:rsid w:val="00C66A71"/>
    <w:rsid w:val="00C66C79"/>
    <w:rsid w:val="00C7016E"/>
    <w:rsid w:val="00C70EC6"/>
    <w:rsid w:val="00C70EDD"/>
    <w:rsid w:val="00C72280"/>
    <w:rsid w:val="00C728F4"/>
    <w:rsid w:val="00C737CC"/>
    <w:rsid w:val="00C75304"/>
    <w:rsid w:val="00C76043"/>
    <w:rsid w:val="00C812B3"/>
    <w:rsid w:val="00C842BD"/>
    <w:rsid w:val="00C84C8F"/>
    <w:rsid w:val="00C8558C"/>
    <w:rsid w:val="00C85710"/>
    <w:rsid w:val="00C86EB4"/>
    <w:rsid w:val="00C87E5A"/>
    <w:rsid w:val="00C9041A"/>
    <w:rsid w:val="00C921F2"/>
    <w:rsid w:val="00C9256C"/>
    <w:rsid w:val="00C93F2C"/>
    <w:rsid w:val="00C943B2"/>
    <w:rsid w:val="00C96C06"/>
    <w:rsid w:val="00C972D3"/>
    <w:rsid w:val="00C97536"/>
    <w:rsid w:val="00CA29FC"/>
    <w:rsid w:val="00CA3C9D"/>
    <w:rsid w:val="00CA4D46"/>
    <w:rsid w:val="00CA559B"/>
    <w:rsid w:val="00CA5EC9"/>
    <w:rsid w:val="00CB3A48"/>
    <w:rsid w:val="00CB3B06"/>
    <w:rsid w:val="00CB5F28"/>
    <w:rsid w:val="00CC283D"/>
    <w:rsid w:val="00CC2ABF"/>
    <w:rsid w:val="00CC3ED0"/>
    <w:rsid w:val="00CC4406"/>
    <w:rsid w:val="00CC697A"/>
    <w:rsid w:val="00CD4256"/>
    <w:rsid w:val="00CD55E8"/>
    <w:rsid w:val="00CD5FEF"/>
    <w:rsid w:val="00CE0269"/>
    <w:rsid w:val="00CE184E"/>
    <w:rsid w:val="00CE2D5F"/>
    <w:rsid w:val="00CE4AB7"/>
    <w:rsid w:val="00CE5407"/>
    <w:rsid w:val="00CE757C"/>
    <w:rsid w:val="00CE7B95"/>
    <w:rsid w:val="00CF1774"/>
    <w:rsid w:val="00CF1935"/>
    <w:rsid w:val="00CF1BF8"/>
    <w:rsid w:val="00CF3C43"/>
    <w:rsid w:val="00CF4734"/>
    <w:rsid w:val="00CF4CF4"/>
    <w:rsid w:val="00CF64E0"/>
    <w:rsid w:val="00D02641"/>
    <w:rsid w:val="00D02E60"/>
    <w:rsid w:val="00D034F0"/>
    <w:rsid w:val="00D035E5"/>
    <w:rsid w:val="00D05AD4"/>
    <w:rsid w:val="00D063C4"/>
    <w:rsid w:val="00D06A02"/>
    <w:rsid w:val="00D134F5"/>
    <w:rsid w:val="00D17771"/>
    <w:rsid w:val="00D22E1F"/>
    <w:rsid w:val="00D25EB2"/>
    <w:rsid w:val="00D27E55"/>
    <w:rsid w:val="00D30165"/>
    <w:rsid w:val="00D3148A"/>
    <w:rsid w:val="00D3528D"/>
    <w:rsid w:val="00D4021B"/>
    <w:rsid w:val="00D40652"/>
    <w:rsid w:val="00D42A87"/>
    <w:rsid w:val="00D4532B"/>
    <w:rsid w:val="00D465F0"/>
    <w:rsid w:val="00D46703"/>
    <w:rsid w:val="00D47346"/>
    <w:rsid w:val="00D4791E"/>
    <w:rsid w:val="00D50F9A"/>
    <w:rsid w:val="00D52576"/>
    <w:rsid w:val="00D53009"/>
    <w:rsid w:val="00D533DE"/>
    <w:rsid w:val="00D541A7"/>
    <w:rsid w:val="00D54B60"/>
    <w:rsid w:val="00D55C23"/>
    <w:rsid w:val="00D5677F"/>
    <w:rsid w:val="00D56D11"/>
    <w:rsid w:val="00D57439"/>
    <w:rsid w:val="00D6003D"/>
    <w:rsid w:val="00D60C52"/>
    <w:rsid w:val="00D6153E"/>
    <w:rsid w:val="00D61604"/>
    <w:rsid w:val="00D62FA3"/>
    <w:rsid w:val="00D67BEB"/>
    <w:rsid w:val="00D700A5"/>
    <w:rsid w:val="00D71BBF"/>
    <w:rsid w:val="00D761CB"/>
    <w:rsid w:val="00D76FCE"/>
    <w:rsid w:val="00D80DB2"/>
    <w:rsid w:val="00D81ADD"/>
    <w:rsid w:val="00D826C9"/>
    <w:rsid w:val="00D82E1B"/>
    <w:rsid w:val="00D850BB"/>
    <w:rsid w:val="00D921DE"/>
    <w:rsid w:val="00D921F1"/>
    <w:rsid w:val="00D92EEA"/>
    <w:rsid w:val="00D9327A"/>
    <w:rsid w:val="00D955B7"/>
    <w:rsid w:val="00D95E8C"/>
    <w:rsid w:val="00D968CE"/>
    <w:rsid w:val="00D97952"/>
    <w:rsid w:val="00DA00C1"/>
    <w:rsid w:val="00DA1F35"/>
    <w:rsid w:val="00DA5FF5"/>
    <w:rsid w:val="00DB1501"/>
    <w:rsid w:val="00DB23A1"/>
    <w:rsid w:val="00DB3D98"/>
    <w:rsid w:val="00DB6E08"/>
    <w:rsid w:val="00DD0710"/>
    <w:rsid w:val="00DD3D77"/>
    <w:rsid w:val="00DD6D10"/>
    <w:rsid w:val="00DE0209"/>
    <w:rsid w:val="00DE0BCD"/>
    <w:rsid w:val="00DE1167"/>
    <w:rsid w:val="00DE18C1"/>
    <w:rsid w:val="00DE468F"/>
    <w:rsid w:val="00DE4758"/>
    <w:rsid w:val="00DE6B96"/>
    <w:rsid w:val="00DF0052"/>
    <w:rsid w:val="00DF035D"/>
    <w:rsid w:val="00DF0B81"/>
    <w:rsid w:val="00DF24AF"/>
    <w:rsid w:val="00DF3206"/>
    <w:rsid w:val="00DF7E7D"/>
    <w:rsid w:val="00E00FCD"/>
    <w:rsid w:val="00E0111C"/>
    <w:rsid w:val="00E01EBE"/>
    <w:rsid w:val="00E05129"/>
    <w:rsid w:val="00E05FD6"/>
    <w:rsid w:val="00E116A6"/>
    <w:rsid w:val="00E11AC0"/>
    <w:rsid w:val="00E160B8"/>
    <w:rsid w:val="00E16FAC"/>
    <w:rsid w:val="00E20263"/>
    <w:rsid w:val="00E20658"/>
    <w:rsid w:val="00E258DF"/>
    <w:rsid w:val="00E26745"/>
    <w:rsid w:val="00E26A3F"/>
    <w:rsid w:val="00E26C5D"/>
    <w:rsid w:val="00E277BC"/>
    <w:rsid w:val="00E27D88"/>
    <w:rsid w:val="00E30411"/>
    <w:rsid w:val="00E3066F"/>
    <w:rsid w:val="00E31BA4"/>
    <w:rsid w:val="00E322E9"/>
    <w:rsid w:val="00E35772"/>
    <w:rsid w:val="00E44902"/>
    <w:rsid w:val="00E45685"/>
    <w:rsid w:val="00E520D1"/>
    <w:rsid w:val="00E5218E"/>
    <w:rsid w:val="00E52252"/>
    <w:rsid w:val="00E526E3"/>
    <w:rsid w:val="00E532F2"/>
    <w:rsid w:val="00E539CC"/>
    <w:rsid w:val="00E55033"/>
    <w:rsid w:val="00E56EE2"/>
    <w:rsid w:val="00E63D2E"/>
    <w:rsid w:val="00E66A16"/>
    <w:rsid w:val="00E70A2F"/>
    <w:rsid w:val="00E755FD"/>
    <w:rsid w:val="00E768FB"/>
    <w:rsid w:val="00E76ABD"/>
    <w:rsid w:val="00E772AD"/>
    <w:rsid w:val="00E82F34"/>
    <w:rsid w:val="00E84065"/>
    <w:rsid w:val="00E86688"/>
    <w:rsid w:val="00E872B5"/>
    <w:rsid w:val="00E87D93"/>
    <w:rsid w:val="00E93170"/>
    <w:rsid w:val="00E95017"/>
    <w:rsid w:val="00E95C97"/>
    <w:rsid w:val="00E96C58"/>
    <w:rsid w:val="00EA7097"/>
    <w:rsid w:val="00EB3E21"/>
    <w:rsid w:val="00EB7793"/>
    <w:rsid w:val="00EC07BA"/>
    <w:rsid w:val="00EC113E"/>
    <w:rsid w:val="00EC6E14"/>
    <w:rsid w:val="00EC734E"/>
    <w:rsid w:val="00EC7740"/>
    <w:rsid w:val="00ED255E"/>
    <w:rsid w:val="00ED4E1E"/>
    <w:rsid w:val="00ED6194"/>
    <w:rsid w:val="00ED6E02"/>
    <w:rsid w:val="00ED74C6"/>
    <w:rsid w:val="00ED74F0"/>
    <w:rsid w:val="00EE1C9E"/>
    <w:rsid w:val="00EE3B77"/>
    <w:rsid w:val="00EE3F0A"/>
    <w:rsid w:val="00EE7336"/>
    <w:rsid w:val="00EE74B3"/>
    <w:rsid w:val="00EF0F46"/>
    <w:rsid w:val="00EF2EE2"/>
    <w:rsid w:val="00F01346"/>
    <w:rsid w:val="00F01914"/>
    <w:rsid w:val="00F03006"/>
    <w:rsid w:val="00F04B01"/>
    <w:rsid w:val="00F120E6"/>
    <w:rsid w:val="00F1418E"/>
    <w:rsid w:val="00F21E70"/>
    <w:rsid w:val="00F232F2"/>
    <w:rsid w:val="00F2419B"/>
    <w:rsid w:val="00F3298B"/>
    <w:rsid w:val="00F33421"/>
    <w:rsid w:val="00F354DB"/>
    <w:rsid w:val="00F37D19"/>
    <w:rsid w:val="00F37DC6"/>
    <w:rsid w:val="00F41074"/>
    <w:rsid w:val="00F42FDC"/>
    <w:rsid w:val="00F470B9"/>
    <w:rsid w:val="00F4718E"/>
    <w:rsid w:val="00F51691"/>
    <w:rsid w:val="00F5659F"/>
    <w:rsid w:val="00F568F9"/>
    <w:rsid w:val="00F57AA6"/>
    <w:rsid w:val="00F57D22"/>
    <w:rsid w:val="00F60D5C"/>
    <w:rsid w:val="00F60FF4"/>
    <w:rsid w:val="00F631BD"/>
    <w:rsid w:val="00F66BB1"/>
    <w:rsid w:val="00F6756D"/>
    <w:rsid w:val="00F71C1F"/>
    <w:rsid w:val="00F71C84"/>
    <w:rsid w:val="00F76250"/>
    <w:rsid w:val="00F7696C"/>
    <w:rsid w:val="00F829F6"/>
    <w:rsid w:val="00F915C8"/>
    <w:rsid w:val="00F93ED8"/>
    <w:rsid w:val="00F95AF0"/>
    <w:rsid w:val="00F96CF6"/>
    <w:rsid w:val="00FA056A"/>
    <w:rsid w:val="00FA2F67"/>
    <w:rsid w:val="00FA38B8"/>
    <w:rsid w:val="00FA505E"/>
    <w:rsid w:val="00FA6E82"/>
    <w:rsid w:val="00FB0D4C"/>
    <w:rsid w:val="00FB230B"/>
    <w:rsid w:val="00FB3111"/>
    <w:rsid w:val="00FC33E8"/>
    <w:rsid w:val="00FC355B"/>
    <w:rsid w:val="00FD098D"/>
    <w:rsid w:val="00FD1753"/>
    <w:rsid w:val="00FD1E27"/>
    <w:rsid w:val="00FD324D"/>
    <w:rsid w:val="00FD57B3"/>
    <w:rsid w:val="00FD5B66"/>
    <w:rsid w:val="00FD6897"/>
    <w:rsid w:val="00FD6D7A"/>
    <w:rsid w:val="00FD7BE3"/>
    <w:rsid w:val="00FF1A15"/>
    <w:rsid w:val="00FF1B00"/>
    <w:rsid w:val="00FF3773"/>
    <w:rsid w:val="00FF4118"/>
    <w:rsid w:val="00FF4FFE"/>
    <w:rsid w:val="00FF5FF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7BF4FD"/>
  <w15:docId w15:val="{438E8C76-C07B-FA43-B8DD-55E0CE2D1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PHI normal"/>
    <w:qFormat/>
    <w:rsid w:val="007D46FC"/>
    <w:pPr>
      <w:spacing w:after="0" w:line="240" w:lineRule="auto"/>
      <w:jc w:val="both"/>
    </w:pPr>
    <w:rPr>
      <w:rFonts w:ascii="Times New Roman" w:hAnsi="Times New Roman"/>
      <w:sz w:val="24"/>
    </w:rPr>
  </w:style>
  <w:style w:type="paragraph" w:styleId="Heading1">
    <w:name w:val="heading 1"/>
    <w:aliases w:val="PHI Chaper Header"/>
    <w:basedOn w:val="Normal"/>
    <w:next w:val="Normal"/>
    <w:link w:val="Heading1Char"/>
    <w:uiPriority w:val="9"/>
    <w:qFormat/>
    <w:rsid w:val="007D46FC"/>
    <w:pPr>
      <w:keepNext/>
      <w:keepLines/>
      <w:outlineLvl w:val="0"/>
    </w:pPr>
    <w:rPr>
      <w:rFonts w:eastAsiaTheme="majorEastAsia" w:cstheme="majorBidi"/>
      <w:bCs/>
      <w:sz w:val="40"/>
      <w:szCs w:val="28"/>
    </w:rPr>
  </w:style>
  <w:style w:type="paragraph" w:styleId="Heading2">
    <w:name w:val="heading 2"/>
    <w:aliases w:val="PHI Section Header"/>
    <w:basedOn w:val="Normal"/>
    <w:next w:val="Normal"/>
    <w:link w:val="Heading2Char"/>
    <w:uiPriority w:val="9"/>
    <w:unhideWhenUsed/>
    <w:qFormat/>
    <w:rsid w:val="007D46FC"/>
    <w:pPr>
      <w:keepNext/>
      <w:keepLines/>
      <w:outlineLvl w:val="1"/>
    </w:pPr>
    <w:rPr>
      <w:rFonts w:eastAsiaTheme="majorEastAsia" w:cstheme="majorBidi"/>
      <w:bCs/>
      <w:sz w:val="32"/>
      <w:szCs w:val="26"/>
      <w:u w:val="single"/>
    </w:rPr>
  </w:style>
  <w:style w:type="paragraph" w:styleId="Heading3">
    <w:name w:val="heading 3"/>
    <w:aliases w:val="PHI Sub Header"/>
    <w:basedOn w:val="Normal"/>
    <w:next w:val="Normal"/>
    <w:link w:val="Heading3Char"/>
    <w:uiPriority w:val="9"/>
    <w:unhideWhenUsed/>
    <w:qFormat/>
    <w:rsid w:val="007D46FC"/>
    <w:pPr>
      <w:keepNext/>
      <w:keepLines/>
      <w:outlineLvl w:val="2"/>
    </w:pPr>
    <w:rPr>
      <w:rFonts w:eastAsiaTheme="majorEastAsia" w:cstheme="majorBidi"/>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46FC"/>
    <w:pPr>
      <w:ind w:left="720"/>
      <w:contextualSpacing/>
    </w:pPr>
  </w:style>
  <w:style w:type="table" w:styleId="TableGrid">
    <w:name w:val="Table Grid"/>
    <w:basedOn w:val="TableNormal"/>
    <w:uiPriority w:val="59"/>
    <w:rsid w:val="005D21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7D46FC"/>
    <w:rPr>
      <w:b/>
      <w:bCs/>
      <w:color w:val="4F81BD" w:themeColor="accent1"/>
      <w:sz w:val="18"/>
      <w:szCs w:val="18"/>
    </w:rPr>
  </w:style>
  <w:style w:type="character" w:styleId="PlaceholderText">
    <w:name w:val="Placeholder Text"/>
    <w:basedOn w:val="DefaultParagraphFont"/>
    <w:uiPriority w:val="99"/>
    <w:semiHidden/>
    <w:rsid w:val="00510951"/>
    <w:rPr>
      <w:color w:val="808080"/>
    </w:rPr>
  </w:style>
  <w:style w:type="paragraph" w:styleId="BalloonText">
    <w:name w:val="Balloon Text"/>
    <w:basedOn w:val="Normal"/>
    <w:link w:val="BalloonTextChar"/>
    <w:uiPriority w:val="99"/>
    <w:semiHidden/>
    <w:unhideWhenUsed/>
    <w:rsid w:val="00510951"/>
    <w:rPr>
      <w:rFonts w:ascii="Tahoma" w:hAnsi="Tahoma" w:cs="Tahoma"/>
      <w:sz w:val="16"/>
      <w:szCs w:val="16"/>
    </w:rPr>
  </w:style>
  <w:style w:type="character" w:customStyle="1" w:styleId="BalloonTextChar">
    <w:name w:val="Balloon Text Char"/>
    <w:basedOn w:val="DefaultParagraphFont"/>
    <w:link w:val="BalloonText"/>
    <w:uiPriority w:val="99"/>
    <w:semiHidden/>
    <w:rsid w:val="00510951"/>
    <w:rPr>
      <w:rFonts w:ascii="Tahoma" w:hAnsi="Tahoma" w:cs="Tahoma"/>
      <w:sz w:val="16"/>
      <w:szCs w:val="16"/>
    </w:rPr>
  </w:style>
  <w:style w:type="character" w:styleId="Hyperlink">
    <w:name w:val="Hyperlink"/>
    <w:basedOn w:val="DefaultParagraphFont"/>
    <w:uiPriority w:val="99"/>
    <w:unhideWhenUsed/>
    <w:rsid w:val="00B342B6"/>
    <w:rPr>
      <w:color w:val="0000FF" w:themeColor="hyperlink"/>
      <w:u w:val="single"/>
    </w:rPr>
  </w:style>
  <w:style w:type="paragraph" w:styleId="Bibliography">
    <w:name w:val="Bibliography"/>
    <w:basedOn w:val="Normal"/>
    <w:next w:val="Normal"/>
    <w:uiPriority w:val="37"/>
    <w:unhideWhenUsed/>
    <w:rsid w:val="006670EC"/>
    <w:pPr>
      <w:tabs>
        <w:tab w:val="left" w:pos="0"/>
      </w:tabs>
      <w:ind w:hanging="264"/>
    </w:pPr>
  </w:style>
  <w:style w:type="paragraph" w:styleId="Header">
    <w:name w:val="header"/>
    <w:basedOn w:val="Normal"/>
    <w:link w:val="HeaderChar"/>
    <w:uiPriority w:val="99"/>
    <w:unhideWhenUsed/>
    <w:rsid w:val="000C0FF3"/>
    <w:pPr>
      <w:tabs>
        <w:tab w:val="center" w:pos="4513"/>
        <w:tab w:val="right" w:pos="9026"/>
      </w:tabs>
    </w:pPr>
  </w:style>
  <w:style w:type="character" w:customStyle="1" w:styleId="HeaderChar">
    <w:name w:val="Header Char"/>
    <w:basedOn w:val="DefaultParagraphFont"/>
    <w:link w:val="Header"/>
    <w:uiPriority w:val="99"/>
    <w:rsid w:val="000C0FF3"/>
  </w:style>
  <w:style w:type="paragraph" w:styleId="Footer">
    <w:name w:val="footer"/>
    <w:basedOn w:val="Normal"/>
    <w:link w:val="FooterChar"/>
    <w:uiPriority w:val="99"/>
    <w:unhideWhenUsed/>
    <w:rsid w:val="000C0FF3"/>
    <w:pPr>
      <w:tabs>
        <w:tab w:val="center" w:pos="4513"/>
        <w:tab w:val="right" w:pos="9026"/>
      </w:tabs>
    </w:pPr>
  </w:style>
  <w:style w:type="character" w:customStyle="1" w:styleId="FooterChar">
    <w:name w:val="Footer Char"/>
    <w:basedOn w:val="DefaultParagraphFont"/>
    <w:link w:val="Footer"/>
    <w:uiPriority w:val="99"/>
    <w:rsid w:val="000C0FF3"/>
  </w:style>
  <w:style w:type="character" w:customStyle="1" w:styleId="Heading1Char">
    <w:name w:val="Heading 1 Char"/>
    <w:aliases w:val="PHI Chaper Header Char"/>
    <w:basedOn w:val="DefaultParagraphFont"/>
    <w:link w:val="Heading1"/>
    <w:uiPriority w:val="9"/>
    <w:rsid w:val="007D46FC"/>
    <w:rPr>
      <w:rFonts w:ascii="Times New Roman" w:eastAsiaTheme="majorEastAsia" w:hAnsi="Times New Roman" w:cstheme="majorBidi"/>
      <w:bCs/>
      <w:sz w:val="40"/>
      <w:szCs w:val="28"/>
    </w:rPr>
  </w:style>
  <w:style w:type="character" w:customStyle="1" w:styleId="Heading2Char">
    <w:name w:val="Heading 2 Char"/>
    <w:aliases w:val="PHI Section Header Char"/>
    <w:basedOn w:val="DefaultParagraphFont"/>
    <w:link w:val="Heading2"/>
    <w:uiPriority w:val="9"/>
    <w:rsid w:val="007D46FC"/>
    <w:rPr>
      <w:rFonts w:ascii="Times New Roman" w:eastAsiaTheme="majorEastAsia" w:hAnsi="Times New Roman" w:cstheme="majorBidi"/>
      <w:bCs/>
      <w:sz w:val="32"/>
      <w:szCs w:val="26"/>
      <w:u w:val="single"/>
    </w:rPr>
  </w:style>
  <w:style w:type="character" w:customStyle="1" w:styleId="Heading3Char">
    <w:name w:val="Heading 3 Char"/>
    <w:aliases w:val="PHI Sub Header Char"/>
    <w:basedOn w:val="DefaultParagraphFont"/>
    <w:link w:val="Heading3"/>
    <w:uiPriority w:val="9"/>
    <w:rsid w:val="007D46FC"/>
    <w:rPr>
      <w:rFonts w:ascii="Times New Roman" w:eastAsiaTheme="majorEastAsia" w:hAnsi="Times New Roman" w:cstheme="majorBidi"/>
      <w:b/>
      <w:bCs/>
      <w:i/>
      <w:sz w:val="24"/>
    </w:rPr>
  </w:style>
  <w:style w:type="paragraph" w:styleId="TOCHeading">
    <w:name w:val="TOC Heading"/>
    <w:basedOn w:val="Heading1"/>
    <w:next w:val="Normal"/>
    <w:uiPriority w:val="39"/>
    <w:semiHidden/>
    <w:unhideWhenUsed/>
    <w:qFormat/>
    <w:rsid w:val="007D46FC"/>
    <w:pPr>
      <w:outlineLvl w:val="9"/>
    </w:pPr>
    <w:rPr>
      <w:lang w:val="en-US" w:eastAsia="ja-JP"/>
    </w:rPr>
  </w:style>
  <w:style w:type="paragraph" w:styleId="NoSpacing">
    <w:name w:val="No Spacing"/>
    <w:aliases w:val="PHI Caption"/>
    <w:uiPriority w:val="1"/>
    <w:qFormat/>
    <w:rsid w:val="007D46FC"/>
    <w:pPr>
      <w:spacing w:after="0" w:line="240" w:lineRule="auto"/>
      <w:jc w:val="center"/>
    </w:pPr>
    <w:rPr>
      <w:rFonts w:ascii="Times New Roman" w:hAnsi="Times New Roman"/>
      <w:sz w:val="20"/>
    </w:rPr>
  </w:style>
  <w:style w:type="paragraph" w:styleId="TOC1">
    <w:name w:val="toc 1"/>
    <w:basedOn w:val="Normal"/>
    <w:next w:val="Normal"/>
    <w:autoRedefine/>
    <w:uiPriority w:val="39"/>
    <w:unhideWhenUsed/>
    <w:rsid w:val="00EC7740"/>
  </w:style>
  <w:style w:type="paragraph" w:styleId="TOC2">
    <w:name w:val="toc 2"/>
    <w:basedOn w:val="Normal"/>
    <w:next w:val="Normal"/>
    <w:autoRedefine/>
    <w:uiPriority w:val="39"/>
    <w:unhideWhenUsed/>
    <w:rsid w:val="00EC7740"/>
    <w:pPr>
      <w:ind w:left="238"/>
    </w:pPr>
  </w:style>
  <w:style w:type="paragraph" w:styleId="TOC3">
    <w:name w:val="toc 3"/>
    <w:basedOn w:val="Normal"/>
    <w:next w:val="Normal"/>
    <w:autoRedefine/>
    <w:uiPriority w:val="39"/>
    <w:unhideWhenUsed/>
    <w:rsid w:val="00EC7740"/>
    <w:pPr>
      <w:ind w:left="482"/>
    </w:pPr>
  </w:style>
  <w:style w:type="character" w:styleId="FollowedHyperlink">
    <w:name w:val="FollowedHyperlink"/>
    <w:basedOn w:val="DefaultParagraphFont"/>
    <w:uiPriority w:val="99"/>
    <w:semiHidden/>
    <w:unhideWhenUsed/>
    <w:rsid w:val="003D1903"/>
    <w:rPr>
      <w:color w:val="800080" w:themeColor="followedHyperlink"/>
      <w:u w:val="single"/>
    </w:rPr>
  </w:style>
  <w:style w:type="character" w:customStyle="1" w:styleId="UnresolvedMention1">
    <w:name w:val="Unresolved Mention1"/>
    <w:basedOn w:val="DefaultParagraphFont"/>
    <w:uiPriority w:val="99"/>
    <w:semiHidden/>
    <w:unhideWhenUsed/>
    <w:rsid w:val="006463A7"/>
    <w:rPr>
      <w:color w:val="605E5C"/>
      <w:shd w:val="clear" w:color="auto" w:fill="E1DFDD"/>
    </w:rPr>
  </w:style>
  <w:style w:type="character" w:styleId="CommentReference">
    <w:name w:val="annotation reference"/>
    <w:basedOn w:val="DefaultParagraphFont"/>
    <w:uiPriority w:val="99"/>
    <w:semiHidden/>
    <w:unhideWhenUsed/>
    <w:rsid w:val="00796BAD"/>
    <w:rPr>
      <w:sz w:val="16"/>
      <w:szCs w:val="16"/>
    </w:rPr>
  </w:style>
  <w:style w:type="paragraph" w:styleId="CommentText">
    <w:name w:val="annotation text"/>
    <w:basedOn w:val="Normal"/>
    <w:link w:val="CommentTextChar"/>
    <w:uiPriority w:val="99"/>
    <w:semiHidden/>
    <w:unhideWhenUsed/>
    <w:rsid w:val="00796BAD"/>
    <w:rPr>
      <w:sz w:val="20"/>
      <w:szCs w:val="20"/>
    </w:rPr>
  </w:style>
  <w:style w:type="character" w:customStyle="1" w:styleId="CommentTextChar">
    <w:name w:val="Comment Text Char"/>
    <w:basedOn w:val="DefaultParagraphFont"/>
    <w:link w:val="CommentText"/>
    <w:uiPriority w:val="99"/>
    <w:semiHidden/>
    <w:rsid w:val="00796BAD"/>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796BAD"/>
    <w:rPr>
      <w:b/>
      <w:bCs/>
    </w:rPr>
  </w:style>
  <w:style w:type="character" w:customStyle="1" w:styleId="CommentSubjectChar">
    <w:name w:val="Comment Subject Char"/>
    <w:basedOn w:val="CommentTextChar"/>
    <w:link w:val="CommentSubject"/>
    <w:uiPriority w:val="99"/>
    <w:semiHidden/>
    <w:rsid w:val="00796BAD"/>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233520">
      <w:bodyDiv w:val="1"/>
      <w:marLeft w:val="0"/>
      <w:marRight w:val="0"/>
      <w:marTop w:val="0"/>
      <w:marBottom w:val="0"/>
      <w:divBdr>
        <w:top w:val="none" w:sz="0" w:space="0" w:color="auto"/>
        <w:left w:val="none" w:sz="0" w:space="0" w:color="auto"/>
        <w:bottom w:val="none" w:sz="0" w:space="0" w:color="auto"/>
        <w:right w:val="none" w:sz="0" w:space="0" w:color="auto"/>
      </w:divBdr>
    </w:div>
    <w:div w:id="424614231">
      <w:bodyDiv w:val="1"/>
      <w:marLeft w:val="0"/>
      <w:marRight w:val="0"/>
      <w:marTop w:val="0"/>
      <w:marBottom w:val="0"/>
      <w:divBdr>
        <w:top w:val="none" w:sz="0" w:space="0" w:color="auto"/>
        <w:left w:val="none" w:sz="0" w:space="0" w:color="auto"/>
        <w:bottom w:val="none" w:sz="0" w:space="0" w:color="auto"/>
        <w:right w:val="none" w:sz="0" w:space="0" w:color="auto"/>
      </w:divBdr>
    </w:div>
    <w:div w:id="776406993">
      <w:bodyDiv w:val="1"/>
      <w:marLeft w:val="0"/>
      <w:marRight w:val="0"/>
      <w:marTop w:val="0"/>
      <w:marBottom w:val="0"/>
      <w:divBdr>
        <w:top w:val="none" w:sz="0" w:space="0" w:color="auto"/>
        <w:left w:val="none" w:sz="0" w:space="0" w:color="auto"/>
        <w:bottom w:val="none" w:sz="0" w:space="0" w:color="auto"/>
        <w:right w:val="none" w:sz="0" w:space="0" w:color="auto"/>
      </w:divBdr>
    </w:div>
    <w:div w:id="826632059">
      <w:bodyDiv w:val="1"/>
      <w:marLeft w:val="0"/>
      <w:marRight w:val="0"/>
      <w:marTop w:val="0"/>
      <w:marBottom w:val="0"/>
      <w:divBdr>
        <w:top w:val="none" w:sz="0" w:space="0" w:color="auto"/>
        <w:left w:val="none" w:sz="0" w:space="0" w:color="auto"/>
        <w:bottom w:val="none" w:sz="0" w:space="0" w:color="auto"/>
        <w:right w:val="none" w:sz="0" w:space="0" w:color="auto"/>
      </w:divBdr>
    </w:div>
    <w:div w:id="1047605608">
      <w:bodyDiv w:val="1"/>
      <w:marLeft w:val="0"/>
      <w:marRight w:val="0"/>
      <w:marTop w:val="0"/>
      <w:marBottom w:val="0"/>
      <w:divBdr>
        <w:top w:val="none" w:sz="0" w:space="0" w:color="auto"/>
        <w:left w:val="none" w:sz="0" w:space="0" w:color="auto"/>
        <w:bottom w:val="none" w:sz="0" w:space="0" w:color="auto"/>
        <w:right w:val="none" w:sz="0" w:space="0" w:color="auto"/>
      </w:divBdr>
    </w:div>
    <w:div w:id="1667898620">
      <w:bodyDiv w:val="1"/>
      <w:marLeft w:val="0"/>
      <w:marRight w:val="0"/>
      <w:marTop w:val="0"/>
      <w:marBottom w:val="0"/>
      <w:divBdr>
        <w:top w:val="none" w:sz="0" w:space="0" w:color="auto"/>
        <w:left w:val="none" w:sz="0" w:space="0" w:color="auto"/>
        <w:bottom w:val="none" w:sz="0" w:space="0" w:color="auto"/>
        <w:right w:val="none" w:sz="0" w:space="0" w:color="auto"/>
      </w:divBdr>
    </w:div>
    <w:div w:id="1816409723">
      <w:bodyDiv w:val="1"/>
      <w:marLeft w:val="0"/>
      <w:marRight w:val="0"/>
      <w:marTop w:val="0"/>
      <w:marBottom w:val="0"/>
      <w:divBdr>
        <w:top w:val="none" w:sz="0" w:space="0" w:color="auto"/>
        <w:left w:val="none" w:sz="0" w:space="0" w:color="auto"/>
        <w:bottom w:val="none" w:sz="0" w:space="0" w:color="auto"/>
        <w:right w:val="none" w:sz="0" w:space="0" w:color="auto"/>
      </w:divBdr>
    </w:div>
    <w:div w:id="1899391098">
      <w:bodyDiv w:val="1"/>
      <w:marLeft w:val="0"/>
      <w:marRight w:val="0"/>
      <w:marTop w:val="0"/>
      <w:marBottom w:val="0"/>
      <w:divBdr>
        <w:top w:val="none" w:sz="0" w:space="0" w:color="auto"/>
        <w:left w:val="none" w:sz="0" w:space="0" w:color="auto"/>
        <w:bottom w:val="none" w:sz="0" w:space="0" w:color="auto"/>
        <w:right w:val="none" w:sz="0" w:space="0" w:color="auto"/>
      </w:divBdr>
    </w:div>
    <w:div w:id="2016493893">
      <w:bodyDiv w:val="1"/>
      <w:marLeft w:val="0"/>
      <w:marRight w:val="0"/>
      <w:marTop w:val="0"/>
      <w:marBottom w:val="0"/>
      <w:divBdr>
        <w:top w:val="none" w:sz="0" w:space="0" w:color="auto"/>
        <w:left w:val="none" w:sz="0" w:space="0" w:color="auto"/>
        <w:bottom w:val="none" w:sz="0" w:space="0" w:color="auto"/>
        <w:right w:val="none" w:sz="0" w:space="0" w:color="auto"/>
      </w:divBdr>
    </w:div>
    <w:div w:id="2071151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mmagransbury@gmail.com" TargetMode="Externa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nfchilton@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8E3E4B-2B3A-48CC-801B-150FB231A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6</Pages>
  <Words>2769</Words>
  <Characters>15785</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18517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dc:creator>
  <cp:lastModifiedBy>Gemma Gransbury</cp:lastModifiedBy>
  <cp:revision>4</cp:revision>
  <cp:lastPrinted>2020-04-24T08:22:00Z</cp:lastPrinted>
  <dcterms:created xsi:type="dcterms:W3CDTF">2020-11-12T15:07:00Z</dcterms:created>
  <dcterms:modified xsi:type="dcterms:W3CDTF">2020-11-13T15:46:00Z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zotero-version="4.0.11"&gt;&lt;session id="H5ZudfHy"/&gt;&lt;style id="http://www.zotero.org/styles/chemical-science" hasBibliography="1" bibliographyStyleHasBeenSet="1"/&gt;&lt;prefs&gt;&lt;pref name="fieldType" value="Field"/&gt;&lt;pref name="storeReferences"</vt:lpwstr>
  </property>
  <property fmtid="{D5CDD505-2E9C-101B-9397-08002B2CF9AE}" pid="3" name="ZOTERO_PREF_2">
    <vt:lpwstr> value="false"/&gt;&lt;pref name="automaticJournalAbbreviations" value="true"/&gt;&lt;pref name="noteType" value="0"/&gt;&lt;/prefs&gt;&lt;/data&gt;</vt:lpwstr>
  </property>
  <property fmtid="{D5CDD505-2E9C-101B-9397-08002B2CF9AE}" pid="4" name="Mendeley Recent Style Id 0_1">
    <vt:lpwstr>http://www.zotero.org/styles/american-political-science-association</vt:lpwstr>
  </property>
  <property fmtid="{D5CDD505-2E9C-101B-9397-08002B2CF9AE}" pid="5" name="Mendeley Recent Style Name 0_1">
    <vt:lpwstr>American Political Science Association</vt:lpwstr>
  </property>
  <property fmtid="{D5CDD505-2E9C-101B-9397-08002B2CF9AE}" pid="6" name="Mendeley Recent Style Id 1_1">
    <vt:lpwstr>http://www.zotero.org/styles/apa</vt:lpwstr>
  </property>
  <property fmtid="{D5CDD505-2E9C-101B-9397-08002B2CF9AE}" pid="7" name="Mendeley Recent Style Name 1_1">
    <vt:lpwstr>American Psychological Association 7th edition</vt:lpwstr>
  </property>
  <property fmtid="{D5CDD505-2E9C-101B-9397-08002B2CF9AE}" pid="8" name="Mendeley Recent Style Id 2_1">
    <vt:lpwstr>http://www.zotero.org/styles/american-sociological-association</vt:lpwstr>
  </property>
  <property fmtid="{D5CDD505-2E9C-101B-9397-08002B2CF9AE}" pid="9" name="Mendeley Recent Style Name 2_1">
    <vt:lpwstr>American Sociological Association</vt:lpwstr>
  </property>
  <property fmtid="{D5CDD505-2E9C-101B-9397-08002B2CF9AE}" pid="10" name="Mendeley Recent Style Id 3_1">
    <vt:lpwstr>http://www.zotero.org/styles/chicago-author-date</vt:lpwstr>
  </property>
  <property fmtid="{D5CDD505-2E9C-101B-9397-08002B2CF9AE}" pid="11" name="Mendeley Recent Style Name 3_1">
    <vt:lpwstr>Chicago Manual of Style 17th edition (author-date)</vt:lpwstr>
  </property>
  <property fmtid="{D5CDD505-2E9C-101B-9397-08002B2CF9AE}" pid="12" name="Mendeley Recent Style Id 4_1">
    <vt:lpwstr>http://www.zotero.org/styles/harvard-cite-them-right</vt:lpwstr>
  </property>
  <property fmtid="{D5CDD505-2E9C-101B-9397-08002B2CF9AE}" pid="13" name="Mendeley Recent Style Name 4_1">
    <vt:lpwstr>Cite Them Right 10th edition - Harvard</vt:lpwstr>
  </property>
  <property fmtid="{D5CDD505-2E9C-101B-9397-08002B2CF9AE}" pid="14" name="Mendeley Recent Style Id 5_1">
    <vt:lpwstr>http://www.zotero.org/styles/ieee</vt:lpwstr>
  </property>
  <property fmtid="{D5CDD505-2E9C-101B-9397-08002B2CF9AE}" pid="15" name="Mendeley Recent Style Name 5_1">
    <vt:lpwstr>IEEE</vt:lpwstr>
  </property>
  <property fmtid="{D5CDD505-2E9C-101B-9397-08002B2CF9AE}" pid="16" name="Mendeley Recent Style Id 6_1">
    <vt:lpwstr>http://www.zotero.org/styles/journal-of-the-american-chemical-society</vt:lpwstr>
  </property>
  <property fmtid="{D5CDD505-2E9C-101B-9397-08002B2CF9AE}" pid="17" name="Mendeley Recent Style Name 6_1">
    <vt:lpwstr>Journal of the American Chemical Society</vt:lpwstr>
  </property>
  <property fmtid="{D5CDD505-2E9C-101B-9397-08002B2CF9AE}" pid="18" name="Mendeley Recent Style Id 7_1">
    <vt:lpwstr>http://www.zotero.org/styles/modern-humanities-research-association</vt:lpwstr>
  </property>
  <property fmtid="{D5CDD505-2E9C-101B-9397-08002B2CF9AE}" pid="19" name="Mendeley Recent Style Name 7_1">
    <vt:lpwstr>Modern Humanities Research Association 3rd edition (note with bibliography)</vt:lpwstr>
  </property>
  <property fmtid="{D5CDD505-2E9C-101B-9397-08002B2CF9AE}" pid="20" name="Mendeley Recent Style Id 8_1">
    <vt:lpwstr>http://www.zotero.org/styles/modern-language-association</vt:lpwstr>
  </property>
  <property fmtid="{D5CDD505-2E9C-101B-9397-08002B2CF9AE}" pid="21" name="Mendeley Recent Style Name 8_1">
    <vt:lpwstr>Modern Language Association 8th edition</vt:lpwstr>
  </property>
  <property fmtid="{D5CDD505-2E9C-101B-9397-08002B2CF9AE}" pid="22" name="Mendeley Recent Style Id 9_1">
    <vt:lpwstr>http://www.zotero.org/styles/nature</vt:lpwstr>
  </property>
  <property fmtid="{D5CDD505-2E9C-101B-9397-08002B2CF9AE}" pid="23" name="Mendeley Recent Style Name 9_1">
    <vt:lpwstr>Nature</vt:lpwstr>
  </property>
  <property fmtid="{D5CDD505-2E9C-101B-9397-08002B2CF9AE}" pid="24" name="Mendeley Document_1">
    <vt:lpwstr>True</vt:lpwstr>
  </property>
  <property fmtid="{D5CDD505-2E9C-101B-9397-08002B2CF9AE}" pid="25" name="Mendeley Unique User Id_1">
    <vt:lpwstr>83ecfbe1-dae5-3659-8ec5-349ef3da56ec</vt:lpwstr>
  </property>
  <property fmtid="{D5CDD505-2E9C-101B-9397-08002B2CF9AE}" pid="26" name="Mendeley Citation Style_1">
    <vt:lpwstr>http://www.zotero.org/styles/journal-of-the-american-chemical-society</vt:lpwstr>
  </property>
</Properties>
</file>